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Cs/>
          <w:b/>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Cs/>
          <w:b/>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Cs/>
          <w:b/>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Cs/>
          <w:b/>
        </w:rPr>
        <w:t xml:space="preserve">the writing for this project will use the second-person singular</w:t>
      </w:r>
      <w:r>
        <w:rPr>
          <w:bCs/>
          <w:b/>
        </w:rPr>
        <w:t xml:space="preserve"> </w:t>
      </w:r>
      <w:r>
        <w:rPr>
          <w:bCs/>
          <w:b/>
        </w:rPr>
        <w:t xml:space="preserve">‘</w:t>
      </w:r>
      <w:r>
        <w:rPr>
          <w:bCs/>
          <w:b/>
        </w:rPr>
        <w:t xml:space="preserve">you</w:t>
      </w:r>
      <w:r>
        <w:rPr>
          <w:bCs/>
          <w:b/>
        </w:rPr>
        <w:t xml:space="preserve">’</w:t>
      </w:r>
      <w:r>
        <w:rPr>
          <w:bCs/>
          <w:b/>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Cs/>
          <w:b/>
        </w:rPr>
        <w:t xml:space="preserve">nothing is easy</w:t>
      </w:r>
      <w:r>
        <w:t xml:space="preserve">. Not even things you learned in high school. Everyone has to start somewhere, and that somewhere might be here. A consequence of this is that</w:t>
      </w:r>
      <w:r>
        <w:t xml:space="preserve"> </w:t>
      </w:r>
      <w:r>
        <w:rPr>
          <w:iCs/>
          <w:i/>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ook w:firstRow="1" w:lastRow="0" w:firstColumn="0" w:lastColumn="0" w:noHBand="0" w:noVBand="0" w:val="0020"/>
        <w:jc w:val="start"/>
        <w:tblCaption w:val="A list of banned words."/>
      </w:tblPr>
      <w:tblGrid>
        <w:gridCol w:w="1980"/>
        <w:gridCol w:w="1980"/>
        <w:gridCol w:w="1980"/>
        <w:gridCol w:w="1980"/>
      </w:tblGrid>
      <w:tr>
        <w:trPr>
          <w:tblHeader w:val="true"/>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Cs/>
          <w:b/>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Cs/>
          <w:b/>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Cs/>
          <w:b/>
        </w:rPr>
        <w:t xml:space="preserve">avoid context</w:t>
      </w:r>
      <w:r>
        <w:t xml:space="preserve"> </w:t>
      </w:r>
      <w:r>
        <w:t xml:space="preserve">where possible.</w:t>
      </w:r>
    </w:p>
    <w:p>
      <w:pPr>
        <w:pStyle w:val="BodyText"/>
      </w:pPr>
      <w:r>
        <w:t xml:space="preserve">In general,</w:t>
      </w:r>
      <w:r>
        <w:t xml:space="preserve"> </w:t>
      </w:r>
      <w:r>
        <w:rPr>
          <w:bCs/>
          <w:b/>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Cs/>
          <w:b/>
        </w:rPr>
        <w:t xml:space="preserve">summary</w:t>
      </w:r>
      <w:r>
        <w:t xml:space="preserve">: two to three lines about the material in the study guide.</w:t>
      </w:r>
    </w:p>
    <w:p>
      <w:pPr>
        <w:numPr>
          <w:ilvl w:val="0"/>
          <w:numId w:val="1002"/>
        </w:numPr>
      </w:pPr>
      <w:r>
        <w:t xml:space="preserve">(optional) a paragraph of</w:t>
      </w:r>
      <w:r>
        <w:t xml:space="preserve"> </w:t>
      </w:r>
      <w:r>
        <w:rPr>
          <w:bCs/>
          <w:b/>
        </w:rPr>
        <w:t xml:space="preserve">presumed knowledge</w:t>
      </w:r>
      <w:r>
        <w:t xml:space="preserve">: relating any presumed knowledge to the contents of the guide.</w:t>
      </w:r>
    </w:p>
    <w:p>
      <w:pPr>
        <w:numPr>
          <w:ilvl w:val="0"/>
          <w:numId w:val="1002"/>
        </w:numPr>
      </w:pPr>
      <w:r>
        <w:t xml:space="preserve">a paragraph-long</w:t>
      </w:r>
      <w:r>
        <w:t xml:space="preserve"> </w:t>
      </w:r>
      <w:r>
        <w:rPr>
          <w:bCs/>
          <w:b/>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Cs/>
          <w:b/>
        </w:rPr>
        <w:t xml:space="preserve">guide</w:t>
      </w:r>
      <w:r>
        <w:t xml:space="preserve"> </w:t>
      </w:r>
      <w:r>
        <w:t xml:space="preserve">itself:</w:t>
      </w:r>
      <w:r>
        <w:t xml:space="preserve"> </w:t>
      </w:r>
      <w:r>
        <w:rPr>
          <w:bCs/>
          <w:b/>
        </w:rPr>
        <w:t xml:space="preserve">definitions</w:t>
      </w:r>
      <w:r>
        <w:t xml:space="preserve">,</w:t>
      </w:r>
      <w:r>
        <w:t xml:space="preserve"> </w:t>
      </w:r>
      <w:r>
        <w:rPr>
          <w:bCs/>
          <w:b/>
        </w:rPr>
        <w:t xml:space="preserve">examples</w:t>
      </w:r>
      <w:r>
        <w:t xml:space="preserve">,</w:t>
      </w:r>
      <w:r>
        <w:t xml:space="preserve"> </w:t>
      </w:r>
      <w:r>
        <w:rPr>
          <w:bCs/>
          <w:b/>
        </w:rPr>
        <w:t xml:space="preserve">results</w:t>
      </w:r>
      <w:r>
        <w:t xml:space="preserve">. Justification for the results should</w:t>
      </w:r>
      <w:r>
        <w:t xml:space="preserve"> </w:t>
      </w:r>
      <w:r>
        <w:rPr>
          <w:bCs/>
          <w:b/>
        </w:rPr>
        <w:t xml:space="preserve">not</w:t>
      </w:r>
      <w:r>
        <w:t xml:space="preserve"> </w:t>
      </w:r>
      <w:r>
        <w:t xml:space="preserve">be included in the main study guide, and instead be included in an</w:t>
      </w:r>
      <w:r>
        <w:t xml:space="preserve"> </w:t>
      </w:r>
      <w:r>
        <w:rPr>
          <w:iCs/>
          <w:i/>
        </w:rPr>
        <w:t xml:space="preserve">optional</w:t>
      </w:r>
      <w:r>
        <w:t xml:space="preserve"> </w:t>
      </w:r>
      <w:r>
        <w:t xml:space="preserve">proof sheet.</w:t>
      </w:r>
    </w:p>
    <w:p>
      <w:pPr>
        <w:numPr>
          <w:ilvl w:val="0"/>
          <w:numId w:val="1002"/>
        </w:numPr>
      </w:pPr>
      <w:r>
        <w:t xml:space="preserve">a</w:t>
      </w:r>
      <w:r>
        <w:t xml:space="preserve"> </w:t>
      </w:r>
      <w:r>
        <w:rPr>
          <w:bCs/>
          <w:b/>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(optional) a list of guides for</w:t>
      </w:r>
      <w:r>
        <w:t xml:space="preserve"> </w:t>
      </w:r>
      <w:r>
        <w:rPr>
          <w:bCs/>
          <w:b/>
        </w:rPr>
        <w:t xml:space="preserve">further reading</w:t>
      </w:r>
      <w:r>
        <w:t xml:space="preserve">.</w:t>
      </w:r>
    </w:p>
    <w:p>
      <w:pPr>
        <w:pStyle w:val="FirstParagraph"/>
      </w:pPr>
      <w:r>
        <w:t xml:space="preserve">Of these, focus on number 4 first. The summary, presumed knowledge, and introduction should be written at the</w:t>
      </w:r>
      <w:r>
        <w:t xml:space="preserve"> </w:t>
      </w:r>
      <w:r>
        <w:rPr>
          <w:bCs/>
          <w:b/>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Cs/>
          <w:b/>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Cs/>
                <w:b/>
              </w:rPr>
              <w:t xml:space="preserve">property x</w:t>
            </w:r>
            <w:r>
              <w:t xml:space="preserve"> </w:t>
            </w:r>
            <w:r>
              <w:t xml:space="preserve">is bolded.</w:t>
            </w:r>
          </w:p>
        </w:tc>
      </w:tr>
    </w:tbl>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Cs/>
          <w:b/>
        </w:rPr>
        <w:t xml:space="preserve">summary</w:t>
      </w:r>
      <w:r>
        <w:t xml:space="preserve">: one line about the material in the questions.</w:t>
      </w:r>
    </w:p>
    <w:p>
      <w:pPr>
        <w:numPr>
          <w:ilvl w:val="0"/>
          <w:numId w:val="1005"/>
        </w:numPr>
      </w:pPr>
      <w:r>
        <w:t xml:space="preserve">A paragraph of</w:t>
      </w:r>
      <w:r>
        <w:t xml:space="preserve"> </w:t>
      </w:r>
      <w:r>
        <w:rPr>
          <w:bCs/>
          <w:b/>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Cs/>
          <w:b/>
        </w:rPr>
        <w:t xml:space="preserve">questions</w:t>
      </w:r>
      <w:r>
        <w:t xml:space="preserve"> </w:t>
      </w:r>
      <w:r>
        <w:t xml:space="preserve">themselves: aim for lots.</w:t>
      </w:r>
    </w:p>
    <w:p>
      <w:pPr>
        <w:numPr>
          <w:ilvl w:val="0"/>
          <w:numId w:val="1005"/>
        </w:numPr>
      </w:pPr>
      <w:r>
        <w:t xml:space="preserve">A</w:t>
      </w:r>
      <w:r>
        <w:t xml:space="preserve"> </w:t>
      </w:r>
      <w:r>
        <w:rPr>
          <w:bCs/>
          <w:b/>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Cs/>
          <w:b/>
        </w:rPr>
        <w:t xml:space="preserve">summary</w:t>
      </w:r>
      <w:r>
        <w:t xml:space="preserve">: one line about the material in the questions.</w:t>
      </w:r>
    </w:p>
    <w:p>
      <w:pPr>
        <w:numPr>
          <w:ilvl w:val="0"/>
          <w:numId w:val="1006"/>
        </w:numPr>
      </w:pPr>
      <w:r>
        <w:t xml:space="preserve">A paragraph of</w:t>
      </w:r>
      <w:r>
        <w:t xml:space="preserve"> </w:t>
      </w:r>
      <w:r>
        <w:rPr>
          <w:bCs/>
          <w:b/>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Cs/>
          <w:b/>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Cs/>
          <w:b/>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5" w:name="inspiration-station"/>
    <w:p>
      <w:pPr>
        <w:pStyle w:val="Heading1"/>
      </w:pPr>
      <w:r>
        <w:t xml:space="preserve">Inspiration station</w:t>
      </w:r>
    </w:p>
    <w:bookmarkStart w:id="63"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bookmarkEnd w:id="63"/>
    <w:bookmarkStart w:id="64" w:name="version-history"/>
    <w:p>
      <w:pPr>
        <w:pStyle w:val="Heading2"/>
      </w:pPr>
      <w:r>
        <w:t xml:space="preserve">Version history</w:t>
      </w:r>
    </w:p>
    <w:p>
      <w:pPr>
        <w:pStyle w:val="FirstParagraph"/>
      </w:pPr>
      <w:r>
        <w:t xml:space="preserve">v1.0: initial version created 05/23 by tdhc.</w:t>
      </w:r>
    </w:p>
    <w:p>
      <w:pPr>
        <w:numPr>
          <w:ilvl w:val="0"/>
          <w:numId w:val="1013"/>
        </w:numPr>
        <w:pStyle w:val="Compact"/>
      </w:pPr>
      <w:r>
        <w:t xml:space="preserve">v1.1: edited 06/24 by tdhc.</w:t>
      </w:r>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2024-08-25T10:53:38Z</dcterms:created>
  <dcterms:modified xsi:type="dcterms:W3CDTF">2024-08-25T10:53:38Z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