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5F2A" w:rsidRDefault="00C65F2A" w:rsidP="004268F0">
      <w:pPr>
        <w:pStyle w:val="Default"/>
        <w:rPr>
          <w:b/>
          <w:bCs/>
          <w:sz w:val="22"/>
          <w:szCs w:val="22"/>
        </w:rPr>
      </w:pPr>
    </w:p>
    <w:p w:rsidR="00C65F2A" w:rsidRDefault="00432715" w:rsidP="00C65F2A">
      <w:pPr>
        <w:pStyle w:val="Title"/>
        <w:jc w:val="center"/>
      </w:pPr>
      <w:r>
        <w:t>Data Management &amp; tools c</w:t>
      </w:r>
      <w:r w:rsidR="00C65F2A">
        <w:t xml:space="preserve">ourse </w:t>
      </w:r>
      <w:r w:rsidR="001023C4">
        <w:t>Cheat Sheet</w:t>
      </w:r>
    </w:p>
    <w:p w:rsidR="001023C4" w:rsidRDefault="001023C4" w:rsidP="004268F0">
      <w:pPr>
        <w:rPr>
          <w:rFonts w:ascii="Arial" w:hAnsi="Arial" w:cs="Arial"/>
        </w:rPr>
      </w:pPr>
      <w:r>
        <w:rPr>
          <w:rFonts w:ascii="Arial" w:hAnsi="Arial" w:cs="Arial"/>
        </w:rPr>
        <w:t>Prepared By: Naren Peri</w:t>
      </w:r>
    </w:p>
    <w:p w:rsidR="001023C4" w:rsidRDefault="001023C4" w:rsidP="004268F0">
      <w:pPr>
        <w:rPr>
          <w:rFonts w:ascii="Arial" w:hAnsi="Arial" w:cs="Arial"/>
        </w:rPr>
      </w:pPr>
      <w:r>
        <w:rPr>
          <w:rFonts w:ascii="Arial" w:hAnsi="Arial" w:cs="Arial"/>
        </w:rPr>
        <w:t>Published Date: Sep 11, 2011</w:t>
      </w:r>
    </w:p>
    <w:tbl>
      <w:tblPr>
        <w:tblStyle w:val="TableGrid"/>
        <w:tblW w:w="0" w:type="auto"/>
        <w:tblLook w:val="04A0"/>
      </w:tblPr>
      <w:tblGrid>
        <w:gridCol w:w="828"/>
        <w:gridCol w:w="2700"/>
        <w:gridCol w:w="7488"/>
      </w:tblGrid>
      <w:tr w:rsidR="001023C4" w:rsidTr="009806EB">
        <w:trPr>
          <w:trHeight w:val="305"/>
        </w:trPr>
        <w:tc>
          <w:tcPr>
            <w:tcW w:w="828" w:type="dxa"/>
          </w:tcPr>
          <w:p w:rsidR="001023C4" w:rsidRPr="009806EB" w:rsidRDefault="009806EB" w:rsidP="004268F0">
            <w:pPr>
              <w:rPr>
                <w:rFonts w:ascii="Arial" w:hAnsi="Arial" w:cs="Arial"/>
                <w:sz w:val="20"/>
                <w:szCs w:val="20"/>
              </w:rPr>
            </w:pPr>
            <w:r w:rsidRPr="009806EB">
              <w:rPr>
                <w:rFonts w:ascii="Arial" w:hAnsi="Arial" w:cs="Arial"/>
                <w:sz w:val="20"/>
                <w:szCs w:val="20"/>
              </w:rPr>
              <w:t>S. No</w:t>
            </w:r>
          </w:p>
        </w:tc>
        <w:tc>
          <w:tcPr>
            <w:tcW w:w="2700" w:type="dxa"/>
          </w:tcPr>
          <w:p w:rsidR="001023C4" w:rsidRPr="009806EB" w:rsidRDefault="001023C4" w:rsidP="004268F0">
            <w:pPr>
              <w:rPr>
                <w:rFonts w:ascii="Arial" w:hAnsi="Arial" w:cs="Arial"/>
                <w:sz w:val="20"/>
                <w:szCs w:val="20"/>
              </w:rPr>
            </w:pPr>
            <w:r w:rsidRPr="009806EB">
              <w:rPr>
                <w:rFonts w:ascii="Arial" w:hAnsi="Arial" w:cs="Arial"/>
                <w:sz w:val="20"/>
                <w:szCs w:val="20"/>
              </w:rPr>
              <w:t>Topic</w:t>
            </w:r>
          </w:p>
        </w:tc>
        <w:tc>
          <w:tcPr>
            <w:tcW w:w="7488" w:type="dxa"/>
          </w:tcPr>
          <w:p w:rsidR="001023C4" w:rsidRPr="009806EB" w:rsidRDefault="001023C4" w:rsidP="004268F0">
            <w:pPr>
              <w:rPr>
                <w:rFonts w:ascii="Arial" w:hAnsi="Arial" w:cs="Arial"/>
                <w:sz w:val="20"/>
                <w:szCs w:val="20"/>
              </w:rPr>
            </w:pPr>
            <w:r w:rsidRPr="009806EB">
              <w:rPr>
                <w:rFonts w:ascii="Arial" w:hAnsi="Arial" w:cs="Arial"/>
                <w:sz w:val="20"/>
                <w:szCs w:val="20"/>
              </w:rPr>
              <w:t>Reference/response/what it means</w:t>
            </w:r>
          </w:p>
        </w:tc>
      </w:tr>
      <w:tr w:rsidR="001023C4" w:rsidTr="009806EB">
        <w:tc>
          <w:tcPr>
            <w:tcW w:w="828" w:type="dxa"/>
          </w:tcPr>
          <w:p w:rsidR="001023C4" w:rsidRPr="009806EB" w:rsidRDefault="001023C4" w:rsidP="009806EB">
            <w:pPr>
              <w:pStyle w:val="ListParagraph"/>
              <w:numPr>
                <w:ilvl w:val="0"/>
                <w:numId w:val="17"/>
              </w:numPr>
              <w:rPr>
                <w:rFonts w:ascii="Arial" w:hAnsi="Arial" w:cs="Arial"/>
                <w:sz w:val="20"/>
                <w:szCs w:val="20"/>
              </w:rPr>
            </w:pPr>
          </w:p>
        </w:tc>
        <w:tc>
          <w:tcPr>
            <w:tcW w:w="2700" w:type="dxa"/>
          </w:tcPr>
          <w:p w:rsidR="001023C4" w:rsidRPr="009806EB" w:rsidRDefault="001023C4" w:rsidP="004268F0">
            <w:pPr>
              <w:rPr>
                <w:rFonts w:ascii="Arial" w:hAnsi="Arial" w:cs="Arial"/>
                <w:sz w:val="20"/>
                <w:szCs w:val="20"/>
              </w:rPr>
            </w:pPr>
            <w:r w:rsidRPr="009806EB">
              <w:rPr>
                <w:rFonts w:ascii="Arial" w:hAnsi="Arial" w:cs="Arial"/>
                <w:sz w:val="20"/>
                <w:szCs w:val="20"/>
              </w:rPr>
              <w:t>Operational Data Store</w:t>
            </w:r>
          </w:p>
        </w:tc>
        <w:tc>
          <w:tcPr>
            <w:tcW w:w="7488" w:type="dxa"/>
          </w:tcPr>
          <w:p w:rsidR="001023C4" w:rsidRPr="009806EB" w:rsidRDefault="001023C4" w:rsidP="004268F0">
            <w:pPr>
              <w:rPr>
                <w:rFonts w:ascii="Arial" w:hAnsi="Arial" w:cs="Arial"/>
                <w:sz w:val="20"/>
                <w:szCs w:val="20"/>
              </w:rPr>
            </w:pPr>
            <w:r w:rsidRPr="009806EB">
              <w:rPr>
                <w:rFonts w:ascii="Arial" w:hAnsi="Arial" w:cs="Arial"/>
                <w:sz w:val="20"/>
                <w:szCs w:val="20"/>
              </w:rPr>
              <w:t>ODS, sometimes data can  pass through ODS before it reaches DW, used for operational reporting</w:t>
            </w:r>
          </w:p>
        </w:tc>
      </w:tr>
      <w:tr w:rsidR="001023C4" w:rsidTr="009806EB">
        <w:tc>
          <w:tcPr>
            <w:tcW w:w="828" w:type="dxa"/>
          </w:tcPr>
          <w:p w:rsidR="001023C4" w:rsidRPr="009806EB" w:rsidRDefault="001023C4" w:rsidP="009806EB">
            <w:pPr>
              <w:pStyle w:val="ListParagraph"/>
              <w:numPr>
                <w:ilvl w:val="0"/>
                <w:numId w:val="17"/>
              </w:numPr>
              <w:rPr>
                <w:rFonts w:ascii="Arial" w:hAnsi="Arial" w:cs="Arial"/>
                <w:sz w:val="20"/>
                <w:szCs w:val="20"/>
              </w:rPr>
            </w:pPr>
          </w:p>
        </w:tc>
        <w:tc>
          <w:tcPr>
            <w:tcW w:w="2700" w:type="dxa"/>
          </w:tcPr>
          <w:p w:rsidR="001023C4" w:rsidRPr="009806EB" w:rsidRDefault="001023C4" w:rsidP="004268F0">
            <w:pPr>
              <w:rPr>
                <w:rFonts w:ascii="Arial" w:hAnsi="Arial" w:cs="Arial"/>
                <w:sz w:val="20"/>
                <w:szCs w:val="20"/>
              </w:rPr>
            </w:pPr>
            <w:r w:rsidRPr="009806EB">
              <w:rPr>
                <w:rFonts w:ascii="Arial" w:hAnsi="Arial" w:cs="Arial"/>
                <w:sz w:val="20"/>
                <w:szCs w:val="20"/>
              </w:rPr>
              <w:t>Data Warehouse</w:t>
            </w:r>
          </w:p>
        </w:tc>
        <w:tc>
          <w:tcPr>
            <w:tcW w:w="7488" w:type="dxa"/>
          </w:tcPr>
          <w:p w:rsidR="001023C4" w:rsidRPr="009806EB" w:rsidRDefault="001023C4" w:rsidP="009806EB">
            <w:pPr>
              <w:rPr>
                <w:rFonts w:ascii="Arial" w:hAnsi="Arial" w:cs="Arial"/>
                <w:sz w:val="20"/>
                <w:szCs w:val="20"/>
              </w:rPr>
            </w:pPr>
            <w:r w:rsidRPr="009806EB">
              <w:rPr>
                <w:rFonts w:ascii="Arial" w:hAnsi="Arial" w:cs="Arial"/>
                <w:sz w:val="20"/>
                <w:szCs w:val="20"/>
              </w:rPr>
              <w:t>Integrated, non-volatile, time non-</w:t>
            </w:r>
            <w:r w:rsidR="00CE3804" w:rsidRPr="009806EB">
              <w:rPr>
                <w:rFonts w:ascii="Arial" w:hAnsi="Arial" w:cs="Arial"/>
                <w:sz w:val="20"/>
                <w:szCs w:val="20"/>
              </w:rPr>
              <w:t>variant (</w:t>
            </w:r>
            <w:r w:rsidRPr="009806EB">
              <w:rPr>
                <w:rFonts w:ascii="Arial" w:hAnsi="Arial" w:cs="Arial"/>
                <w:sz w:val="20"/>
                <w:szCs w:val="20"/>
              </w:rPr>
              <w:t>does not change with time unlike in operational systems) subject-oriented, historical store is a data warehouse</w:t>
            </w:r>
            <w:r w:rsidR="009806EB">
              <w:rPr>
                <w:rFonts w:ascii="Arial" w:hAnsi="Arial" w:cs="Arial"/>
                <w:sz w:val="20"/>
                <w:szCs w:val="20"/>
              </w:rPr>
              <w:t>. Typically end users/analytical users are not exposed to DW tables: DW is exposed through read only views</w:t>
            </w:r>
          </w:p>
        </w:tc>
      </w:tr>
      <w:tr w:rsidR="001023C4" w:rsidTr="009806EB">
        <w:tc>
          <w:tcPr>
            <w:tcW w:w="828" w:type="dxa"/>
          </w:tcPr>
          <w:p w:rsidR="001023C4" w:rsidRPr="009806EB" w:rsidRDefault="001023C4" w:rsidP="009806EB">
            <w:pPr>
              <w:pStyle w:val="ListParagraph"/>
              <w:numPr>
                <w:ilvl w:val="0"/>
                <w:numId w:val="17"/>
              </w:numPr>
              <w:rPr>
                <w:rFonts w:ascii="Arial" w:hAnsi="Arial" w:cs="Arial"/>
                <w:sz w:val="20"/>
                <w:szCs w:val="20"/>
              </w:rPr>
            </w:pPr>
          </w:p>
        </w:tc>
        <w:tc>
          <w:tcPr>
            <w:tcW w:w="2700" w:type="dxa"/>
          </w:tcPr>
          <w:p w:rsidR="001023C4" w:rsidRPr="009806EB" w:rsidRDefault="001023C4" w:rsidP="004268F0">
            <w:pPr>
              <w:rPr>
                <w:rFonts w:ascii="Arial" w:hAnsi="Arial" w:cs="Arial"/>
                <w:sz w:val="20"/>
                <w:szCs w:val="20"/>
              </w:rPr>
            </w:pPr>
            <w:r w:rsidRPr="009806EB">
              <w:rPr>
                <w:rFonts w:ascii="Arial" w:hAnsi="Arial" w:cs="Arial"/>
                <w:sz w:val="20"/>
                <w:szCs w:val="20"/>
              </w:rPr>
              <w:t>Data Mart</w:t>
            </w:r>
          </w:p>
        </w:tc>
        <w:tc>
          <w:tcPr>
            <w:tcW w:w="7488" w:type="dxa"/>
          </w:tcPr>
          <w:p w:rsidR="001023C4" w:rsidRPr="009806EB" w:rsidRDefault="001023C4" w:rsidP="004268F0">
            <w:pPr>
              <w:rPr>
                <w:rFonts w:ascii="Arial" w:hAnsi="Arial" w:cs="Arial"/>
                <w:sz w:val="20"/>
                <w:szCs w:val="20"/>
              </w:rPr>
            </w:pPr>
            <w:r w:rsidRPr="009806EB">
              <w:rPr>
                <w:rFonts w:ascii="Arial" w:hAnsi="Arial" w:cs="Arial"/>
                <w:sz w:val="20"/>
                <w:szCs w:val="20"/>
              </w:rPr>
              <w:t>Subset of Data warehouse, subject oriented, analytical/aggregated data sets. OLAP/BI tools usually connect to data mart to source aggregated data for reporting/cubes. Analytical power users/sophisticated users are given access to data mart to perform ad-hoc analyses</w:t>
            </w:r>
          </w:p>
          <w:p w:rsidR="001023C4" w:rsidRPr="009806EB" w:rsidRDefault="001023C4" w:rsidP="004268F0">
            <w:pPr>
              <w:rPr>
                <w:rFonts w:ascii="Arial" w:hAnsi="Arial" w:cs="Arial"/>
                <w:sz w:val="20"/>
                <w:szCs w:val="20"/>
              </w:rPr>
            </w:pPr>
          </w:p>
        </w:tc>
      </w:tr>
      <w:tr w:rsidR="001023C4" w:rsidTr="009806EB">
        <w:trPr>
          <w:trHeight w:val="368"/>
        </w:trPr>
        <w:tc>
          <w:tcPr>
            <w:tcW w:w="828" w:type="dxa"/>
          </w:tcPr>
          <w:p w:rsidR="001023C4" w:rsidRPr="009806EB" w:rsidRDefault="001023C4" w:rsidP="009806EB">
            <w:pPr>
              <w:pStyle w:val="ListParagraph"/>
              <w:numPr>
                <w:ilvl w:val="0"/>
                <w:numId w:val="17"/>
              </w:numPr>
              <w:rPr>
                <w:rFonts w:ascii="Arial" w:hAnsi="Arial" w:cs="Arial"/>
                <w:sz w:val="20"/>
                <w:szCs w:val="20"/>
              </w:rPr>
            </w:pPr>
          </w:p>
        </w:tc>
        <w:tc>
          <w:tcPr>
            <w:tcW w:w="2700" w:type="dxa"/>
          </w:tcPr>
          <w:p w:rsidR="001023C4" w:rsidRPr="009806EB" w:rsidRDefault="001023C4" w:rsidP="004268F0">
            <w:pPr>
              <w:rPr>
                <w:rFonts w:ascii="Arial" w:hAnsi="Arial" w:cs="Arial"/>
                <w:sz w:val="20"/>
                <w:szCs w:val="20"/>
              </w:rPr>
            </w:pPr>
            <w:r w:rsidRPr="009806EB">
              <w:rPr>
                <w:rFonts w:ascii="Arial" w:hAnsi="Arial" w:cs="Arial"/>
                <w:sz w:val="20"/>
                <w:szCs w:val="20"/>
              </w:rPr>
              <w:t>Data Architecture</w:t>
            </w:r>
          </w:p>
        </w:tc>
        <w:tc>
          <w:tcPr>
            <w:tcW w:w="7488" w:type="dxa"/>
          </w:tcPr>
          <w:p w:rsidR="001023C4" w:rsidRPr="009806EB" w:rsidRDefault="001023C4" w:rsidP="004268F0">
            <w:pPr>
              <w:rPr>
                <w:rFonts w:ascii="Arial" w:hAnsi="Arial" w:cs="Arial"/>
                <w:sz w:val="20"/>
                <w:szCs w:val="20"/>
              </w:rPr>
            </w:pPr>
            <w:r w:rsidRPr="009806EB">
              <w:rPr>
                <w:rFonts w:ascii="Arial" w:hAnsi="Arial" w:cs="Arial"/>
                <w:sz w:val="20"/>
                <w:szCs w:val="20"/>
              </w:rPr>
              <w:t xml:space="preserve">Architecting conceptual, logical and physical data models </w:t>
            </w:r>
          </w:p>
        </w:tc>
      </w:tr>
      <w:tr w:rsidR="009806EB" w:rsidTr="009806EB">
        <w:tc>
          <w:tcPr>
            <w:tcW w:w="828" w:type="dxa"/>
          </w:tcPr>
          <w:p w:rsidR="009806EB" w:rsidRPr="009806EB" w:rsidRDefault="009806EB" w:rsidP="009806EB">
            <w:pPr>
              <w:pStyle w:val="ListParagraph"/>
              <w:numPr>
                <w:ilvl w:val="0"/>
                <w:numId w:val="17"/>
              </w:numPr>
              <w:rPr>
                <w:rFonts w:ascii="Arial" w:hAnsi="Arial" w:cs="Arial"/>
                <w:sz w:val="20"/>
                <w:szCs w:val="20"/>
              </w:rPr>
            </w:pPr>
          </w:p>
        </w:tc>
        <w:tc>
          <w:tcPr>
            <w:tcW w:w="2700" w:type="dxa"/>
          </w:tcPr>
          <w:p w:rsidR="009806EB" w:rsidRPr="009806EB" w:rsidRDefault="009806EB" w:rsidP="004268F0">
            <w:pPr>
              <w:rPr>
                <w:rFonts w:ascii="Arial" w:hAnsi="Arial" w:cs="Arial"/>
                <w:sz w:val="20"/>
                <w:szCs w:val="20"/>
              </w:rPr>
            </w:pPr>
            <w:r>
              <w:rPr>
                <w:rFonts w:ascii="Arial" w:hAnsi="Arial" w:cs="Arial"/>
                <w:sz w:val="20"/>
                <w:szCs w:val="20"/>
              </w:rPr>
              <w:t>Star Schema</w:t>
            </w:r>
          </w:p>
        </w:tc>
        <w:tc>
          <w:tcPr>
            <w:tcW w:w="7488" w:type="dxa"/>
          </w:tcPr>
          <w:p w:rsidR="009806EB" w:rsidRPr="009806EB" w:rsidRDefault="009806EB" w:rsidP="004268F0">
            <w:pPr>
              <w:rPr>
                <w:rFonts w:ascii="Arial" w:hAnsi="Arial" w:cs="Arial"/>
                <w:sz w:val="20"/>
                <w:szCs w:val="20"/>
              </w:rPr>
            </w:pPr>
            <w:r>
              <w:rPr>
                <w:rFonts w:ascii="Arial" w:hAnsi="Arial" w:cs="Arial"/>
                <w:sz w:val="20"/>
                <w:szCs w:val="20"/>
              </w:rPr>
              <w:t>Center fact(s) surrounded by dimensions. Each dimension contributes its business key to the fact table. Fact can be detailed fact or aggregated fact</w:t>
            </w:r>
          </w:p>
        </w:tc>
      </w:tr>
      <w:tr w:rsidR="009806EB" w:rsidTr="009806EB">
        <w:tc>
          <w:tcPr>
            <w:tcW w:w="828" w:type="dxa"/>
          </w:tcPr>
          <w:p w:rsidR="009806EB" w:rsidRPr="009806EB" w:rsidRDefault="009806EB" w:rsidP="009806EB">
            <w:pPr>
              <w:pStyle w:val="ListParagraph"/>
              <w:numPr>
                <w:ilvl w:val="0"/>
                <w:numId w:val="17"/>
              </w:numPr>
              <w:rPr>
                <w:rFonts w:ascii="Arial" w:hAnsi="Arial" w:cs="Arial"/>
                <w:sz w:val="20"/>
                <w:szCs w:val="20"/>
              </w:rPr>
            </w:pPr>
          </w:p>
        </w:tc>
        <w:tc>
          <w:tcPr>
            <w:tcW w:w="2700" w:type="dxa"/>
          </w:tcPr>
          <w:p w:rsidR="009806EB" w:rsidRPr="009806EB" w:rsidRDefault="009806EB" w:rsidP="004268F0">
            <w:pPr>
              <w:rPr>
                <w:rFonts w:ascii="Arial" w:hAnsi="Arial" w:cs="Arial"/>
                <w:sz w:val="20"/>
                <w:szCs w:val="20"/>
              </w:rPr>
            </w:pPr>
            <w:r>
              <w:rPr>
                <w:rFonts w:ascii="Arial" w:hAnsi="Arial" w:cs="Arial"/>
                <w:sz w:val="20"/>
                <w:szCs w:val="20"/>
              </w:rPr>
              <w:t>Snow Flake Schema</w:t>
            </w:r>
          </w:p>
        </w:tc>
        <w:tc>
          <w:tcPr>
            <w:tcW w:w="7488" w:type="dxa"/>
          </w:tcPr>
          <w:p w:rsidR="009806EB" w:rsidRPr="009806EB" w:rsidRDefault="009806EB" w:rsidP="009806EB">
            <w:pPr>
              <w:rPr>
                <w:rFonts w:ascii="Arial" w:hAnsi="Arial" w:cs="Arial"/>
                <w:sz w:val="20"/>
                <w:szCs w:val="20"/>
              </w:rPr>
            </w:pPr>
            <w:r>
              <w:rPr>
                <w:rFonts w:ascii="Arial" w:hAnsi="Arial" w:cs="Arial"/>
                <w:sz w:val="20"/>
                <w:szCs w:val="20"/>
              </w:rPr>
              <w:t xml:space="preserve">Dimension is flaked. </w:t>
            </w:r>
            <w:r w:rsidR="00CE3804">
              <w:rPr>
                <w:rFonts w:ascii="Arial" w:hAnsi="Arial" w:cs="Arial"/>
                <w:sz w:val="20"/>
                <w:szCs w:val="20"/>
              </w:rPr>
              <w:t>E.g.</w:t>
            </w:r>
            <w:r>
              <w:rPr>
                <w:rFonts w:ascii="Arial" w:hAnsi="Arial" w:cs="Arial"/>
                <w:sz w:val="20"/>
                <w:szCs w:val="20"/>
              </w:rPr>
              <w:t>: Countries and states. Country table is connected to fact, and contributes country id to fact table. State table is connected to country table but not to the ‘fact’ table. If someone needs to aggregate sales by country and state, then one has to navigate to ‘state’ through ‘country’. When data size is huge, this can reduce performance( additional join condition), however if such requests are low, then one would not denormalize the schema</w:t>
            </w:r>
          </w:p>
        </w:tc>
      </w:tr>
      <w:tr w:rsidR="009806EB" w:rsidTr="009806EB">
        <w:tc>
          <w:tcPr>
            <w:tcW w:w="828" w:type="dxa"/>
          </w:tcPr>
          <w:p w:rsidR="009806EB" w:rsidRPr="009806EB" w:rsidRDefault="009806EB" w:rsidP="009806EB">
            <w:pPr>
              <w:pStyle w:val="ListParagraph"/>
              <w:numPr>
                <w:ilvl w:val="0"/>
                <w:numId w:val="17"/>
              </w:numPr>
              <w:rPr>
                <w:rFonts w:ascii="Arial" w:hAnsi="Arial" w:cs="Arial"/>
                <w:sz w:val="20"/>
                <w:szCs w:val="20"/>
              </w:rPr>
            </w:pPr>
          </w:p>
        </w:tc>
        <w:tc>
          <w:tcPr>
            <w:tcW w:w="2700" w:type="dxa"/>
          </w:tcPr>
          <w:p w:rsidR="009806EB" w:rsidRPr="009806EB" w:rsidRDefault="009806EB" w:rsidP="004268F0">
            <w:pPr>
              <w:rPr>
                <w:rFonts w:ascii="Arial" w:hAnsi="Arial" w:cs="Arial"/>
                <w:sz w:val="20"/>
                <w:szCs w:val="20"/>
              </w:rPr>
            </w:pPr>
            <w:r>
              <w:rPr>
                <w:rFonts w:ascii="Arial" w:hAnsi="Arial" w:cs="Arial"/>
                <w:sz w:val="20"/>
                <w:szCs w:val="20"/>
              </w:rPr>
              <w:t>Normalization/De Normalizaton</w:t>
            </w:r>
          </w:p>
        </w:tc>
        <w:tc>
          <w:tcPr>
            <w:tcW w:w="7488" w:type="dxa"/>
          </w:tcPr>
          <w:p w:rsidR="009806EB" w:rsidRPr="009806EB" w:rsidRDefault="00CE3804" w:rsidP="00CE3804">
            <w:pPr>
              <w:rPr>
                <w:rFonts w:ascii="Arial" w:hAnsi="Arial" w:cs="Arial"/>
                <w:sz w:val="20"/>
                <w:szCs w:val="20"/>
              </w:rPr>
            </w:pPr>
            <w:r>
              <w:rPr>
                <w:rFonts w:ascii="Arial" w:hAnsi="Arial" w:cs="Arial"/>
                <w:sz w:val="20"/>
                <w:szCs w:val="20"/>
              </w:rPr>
              <w:t>Process</w:t>
            </w:r>
            <w:r w:rsidRPr="00CE3804">
              <w:rPr>
                <w:rFonts w:ascii="Arial" w:hAnsi="Arial" w:cs="Arial"/>
                <w:sz w:val="20"/>
                <w:szCs w:val="20"/>
              </w:rPr>
              <w:t xml:space="preserve"> of</w:t>
            </w:r>
            <w:r>
              <w:rPr>
                <w:rFonts w:ascii="Arial" w:hAnsi="Arial" w:cs="Arial"/>
                <w:sz w:val="20"/>
                <w:szCs w:val="20"/>
              </w:rPr>
              <w:t xml:space="preserve"> architecting/organizing</w:t>
            </w:r>
            <w:r w:rsidRPr="00CE3804">
              <w:rPr>
                <w:rFonts w:ascii="Arial" w:hAnsi="Arial" w:cs="Arial"/>
                <w:sz w:val="20"/>
                <w:szCs w:val="20"/>
              </w:rPr>
              <w:t xml:space="preserve"> data to </w:t>
            </w:r>
            <w:r>
              <w:rPr>
                <w:rFonts w:ascii="Arial" w:hAnsi="Arial" w:cs="Arial"/>
                <w:sz w:val="20"/>
                <w:szCs w:val="20"/>
              </w:rPr>
              <w:t>balance</w:t>
            </w:r>
            <w:r w:rsidRPr="00CE3804">
              <w:rPr>
                <w:rFonts w:ascii="Arial" w:hAnsi="Arial" w:cs="Arial"/>
                <w:sz w:val="20"/>
                <w:szCs w:val="20"/>
              </w:rPr>
              <w:t xml:space="preserve"> redundancy</w:t>
            </w:r>
            <w:r>
              <w:rPr>
                <w:rFonts w:ascii="Arial" w:hAnsi="Arial" w:cs="Arial"/>
                <w:sz w:val="20"/>
                <w:szCs w:val="20"/>
              </w:rPr>
              <w:t xml:space="preserve"> &amp; retrieval speed </w:t>
            </w:r>
            <w:r w:rsidRPr="00CE3804">
              <w:rPr>
                <w:rFonts w:ascii="Arial" w:hAnsi="Arial" w:cs="Arial"/>
                <w:sz w:val="20"/>
                <w:szCs w:val="20"/>
              </w:rPr>
              <w:t xml:space="preserve"> is called normalization</w:t>
            </w:r>
            <w:r>
              <w:rPr>
                <w:rFonts w:ascii="Arial" w:hAnsi="Arial" w:cs="Arial"/>
                <w:sz w:val="20"/>
                <w:szCs w:val="20"/>
              </w:rPr>
              <w:t>/denormalization</w:t>
            </w:r>
          </w:p>
        </w:tc>
      </w:tr>
      <w:tr w:rsidR="001023C4" w:rsidTr="009806EB">
        <w:tc>
          <w:tcPr>
            <w:tcW w:w="828" w:type="dxa"/>
          </w:tcPr>
          <w:p w:rsidR="001023C4" w:rsidRPr="009806EB" w:rsidRDefault="001023C4" w:rsidP="009806EB">
            <w:pPr>
              <w:pStyle w:val="ListParagraph"/>
              <w:numPr>
                <w:ilvl w:val="0"/>
                <w:numId w:val="17"/>
              </w:numPr>
              <w:rPr>
                <w:rFonts w:ascii="Arial" w:hAnsi="Arial" w:cs="Arial"/>
                <w:sz w:val="20"/>
                <w:szCs w:val="20"/>
              </w:rPr>
            </w:pPr>
          </w:p>
        </w:tc>
        <w:tc>
          <w:tcPr>
            <w:tcW w:w="2700" w:type="dxa"/>
          </w:tcPr>
          <w:p w:rsidR="001023C4" w:rsidRPr="009806EB" w:rsidRDefault="001023C4" w:rsidP="004268F0">
            <w:pPr>
              <w:rPr>
                <w:rFonts w:ascii="Arial" w:hAnsi="Arial" w:cs="Arial"/>
                <w:sz w:val="20"/>
                <w:szCs w:val="20"/>
              </w:rPr>
            </w:pPr>
            <w:r w:rsidRPr="009806EB">
              <w:rPr>
                <w:rFonts w:ascii="Arial" w:hAnsi="Arial" w:cs="Arial"/>
                <w:sz w:val="20"/>
                <w:szCs w:val="20"/>
              </w:rPr>
              <w:t>E T L C</w:t>
            </w:r>
          </w:p>
        </w:tc>
        <w:tc>
          <w:tcPr>
            <w:tcW w:w="7488" w:type="dxa"/>
          </w:tcPr>
          <w:p w:rsidR="001023C4" w:rsidRPr="009806EB" w:rsidRDefault="001023C4" w:rsidP="004268F0">
            <w:pPr>
              <w:rPr>
                <w:rFonts w:ascii="Arial" w:hAnsi="Arial" w:cs="Arial"/>
                <w:sz w:val="20"/>
                <w:szCs w:val="20"/>
              </w:rPr>
            </w:pPr>
            <w:r w:rsidRPr="009806EB">
              <w:rPr>
                <w:rFonts w:ascii="Arial" w:hAnsi="Arial" w:cs="Arial"/>
                <w:sz w:val="20"/>
                <w:szCs w:val="20"/>
              </w:rPr>
              <w:t>E-extract, T-transform, L-Load, C- cleanse. In practice, ETL is the most popular word, some theorists/practitioners also use ELT, ECLT, ECTL etc</w:t>
            </w:r>
          </w:p>
        </w:tc>
      </w:tr>
      <w:tr w:rsidR="001023C4" w:rsidTr="009806EB">
        <w:tc>
          <w:tcPr>
            <w:tcW w:w="828" w:type="dxa"/>
          </w:tcPr>
          <w:p w:rsidR="001023C4" w:rsidRPr="009806EB" w:rsidRDefault="001023C4" w:rsidP="009806EB">
            <w:pPr>
              <w:pStyle w:val="ListParagraph"/>
              <w:numPr>
                <w:ilvl w:val="0"/>
                <w:numId w:val="17"/>
              </w:numPr>
              <w:rPr>
                <w:rFonts w:ascii="Arial" w:hAnsi="Arial" w:cs="Arial"/>
                <w:sz w:val="20"/>
                <w:szCs w:val="20"/>
              </w:rPr>
            </w:pPr>
          </w:p>
        </w:tc>
        <w:tc>
          <w:tcPr>
            <w:tcW w:w="2700" w:type="dxa"/>
          </w:tcPr>
          <w:p w:rsidR="001023C4" w:rsidRPr="009806EB" w:rsidRDefault="001023C4" w:rsidP="004268F0">
            <w:pPr>
              <w:rPr>
                <w:rFonts w:ascii="Arial" w:hAnsi="Arial" w:cs="Arial"/>
                <w:sz w:val="20"/>
                <w:szCs w:val="20"/>
              </w:rPr>
            </w:pPr>
            <w:r w:rsidRPr="009806EB">
              <w:rPr>
                <w:rFonts w:ascii="Arial" w:hAnsi="Arial" w:cs="Arial"/>
                <w:sz w:val="20"/>
                <w:szCs w:val="20"/>
              </w:rPr>
              <w:t>ETL Architecture</w:t>
            </w:r>
          </w:p>
        </w:tc>
        <w:tc>
          <w:tcPr>
            <w:tcW w:w="7488" w:type="dxa"/>
          </w:tcPr>
          <w:p w:rsidR="001023C4" w:rsidRPr="009806EB" w:rsidRDefault="001023C4" w:rsidP="004268F0">
            <w:pPr>
              <w:rPr>
                <w:rFonts w:ascii="Arial" w:hAnsi="Arial" w:cs="Arial"/>
                <w:sz w:val="20"/>
                <w:szCs w:val="20"/>
              </w:rPr>
            </w:pPr>
            <w:r w:rsidRPr="009806EB">
              <w:rPr>
                <w:rFonts w:ascii="Arial" w:hAnsi="Arial" w:cs="Arial"/>
                <w:sz w:val="20"/>
                <w:szCs w:val="20"/>
              </w:rPr>
              <w:t>Architect/design the data and process flow to move data from source tables to target tables</w:t>
            </w:r>
          </w:p>
        </w:tc>
      </w:tr>
      <w:tr w:rsidR="001023C4" w:rsidTr="009806EB">
        <w:tc>
          <w:tcPr>
            <w:tcW w:w="828" w:type="dxa"/>
          </w:tcPr>
          <w:p w:rsidR="001023C4" w:rsidRPr="009806EB" w:rsidRDefault="001023C4" w:rsidP="009806EB">
            <w:pPr>
              <w:pStyle w:val="ListParagraph"/>
              <w:numPr>
                <w:ilvl w:val="0"/>
                <w:numId w:val="17"/>
              </w:numPr>
              <w:rPr>
                <w:rFonts w:ascii="Arial" w:hAnsi="Arial" w:cs="Arial"/>
                <w:sz w:val="20"/>
                <w:szCs w:val="20"/>
              </w:rPr>
            </w:pPr>
          </w:p>
        </w:tc>
        <w:tc>
          <w:tcPr>
            <w:tcW w:w="2700" w:type="dxa"/>
          </w:tcPr>
          <w:p w:rsidR="001023C4" w:rsidRPr="009806EB" w:rsidRDefault="001023C4" w:rsidP="004268F0">
            <w:pPr>
              <w:rPr>
                <w:rFonts w:ascii="Arial" w:hAnsi="Arial" w:cs="Arial"/>
                <w:sz w:val="20"/>
                <w:szCs w:val="20"/>
              </w:rPr>
            </w:pPr>
            <w:r w:rsidRPr="009806EB">
              <w:rPr>
                <w:rFonts w:ascii="Arial" w:hAnsi="Arial" w:cs="Arial"/>
                <w:sz w:val="20"/>
                <w:szCs w:val="20"/>
              </w:rPr>
              <w:t>RDMBS</w:t>
            </w:r>
          </w:p>
        </w:tc>
        <w:tc>
          <w:tcPr>
            <w:tcW w:w="7488" w:type="dxa"/>
          </w:tcPr>
          <w:p w:rsidR="001023C4" w:rsidRPr="009806EB" w:rsidRDefault="001023C4" w:rsidP="004268F0">
            <w:pPr>
              <w:rPr>
                <w:rFonts w:ascii="Arial" w:hAnsi="Arial" w:cs="Arial"/>
                <w:sz w:val="20"/>
                <w:szCs w:val="20"/>
              </w:rPr>
            </w:pPr>
            <w:r w:rsidRPr="009806EB">
              <w:rPr>
                <w:rFonts w:ascii="Arial" w:hAnsi="Arial" w:cs="Arial"/>
                <w:sz w:val="20"/>
                <w:szCs w:val="20"/>
              </w:rPr>
              <w:t>Relational data base management software: Oracle, SQL server DB, My SQL DB, Teradata, DB2, Access .mdb are examples of RDBMS</w:t>
            </w:r>
          </w:p>
        </w:tc>
      </w:tr>
      <w:tr w:rsidR="001023C4" w:rsidTr="009806EB">
        <w:tc>
          <w:tcPr>
            <w:tcW w:w="828" w:type="dxa"/>
          </w:tcPr>
          <w:p w:rsidR="001023C4" w:rsidRPr="009806EB" w:rsidRDefault="001023C4" w:rsidP="009806EB">
            <w:pPr>
              <w:pStyle w:val="ListParagraph"/>
              <w:numPr>
                <w:ilvl w:val="0"/>
                <w:numId w:val="17"/>
              </w:numPr>
              <w:rPr>
                <w:rFonts w:ascii="Arial" w:hAnsi="Arial" w:cs="Arial"/>
                <w:sz w:val="20"/>
                <w:szCs w:val="20"/>
              </w:rPr>
            </w:pPr>
          </w:p>
        </w:tc>
        <w:tc>
          <w:tcPr>
            <w:tcW w:w="2700" w:type="dxa"/>
          </w:tcPr>
          <w:p w:rsidR="001023C4" w:rsidRPr="009806EB" w:rsidRDefault="001023C4" w:rsidP="004268F0">
            <w:pPr>
              <w:rPr>
                <w:rFonts w:ascii="Arial" w:hAnsi="Arial" w:cs="Arial"/>
                <w:sz w:val="20"/>
                <w:szCs w:val="20"/>
              </w:rPr>
            </w:pPr>
            <w:r w:rsidRPr="009806EB">
              <w:rPr>
                <w:rFonts w:ascii="Arial" w:hAnsi="Arial" w:cs="Arial"/>
                <w:sz w:val="20"/>
                <w:szCs w:val="20"/>
              </w:rPr>
              <w:t>Appliances</w:t>
            </w:r>
          </w:p>
        </w:tc>
        <w:tc>
          <w:tcPr>
            <w:tcW w:w="7488" w:type="dxa"/>
          </w:tcPr>
          <w:p w:rsidR="001023C4" w:rsidRPr="009806EB" w:rsidRDefault="009806EB" w:rsidP="004268F0">
            <w:pPr>
              <w:rPr>
                <w:rFonts w:ascii="Arial" w:hAnsi="Arial" w:cs="Arial"/>
                <w:sz w:val="20"/>
                <w:szCs w:val="20"/>
              </w:rPr>
            </w:pPr>
            <w:r w:rsidRPr="009806EB">
              <w:rPr>
                <w:rFonts w:ascii="Arial" w:hAnsi="Arial" w:cs="Arial"/>
                <w:sz w:val="20"/>
                <w:szCs w:val="20"/>
              </w:rPr>
              <w:t xml:space="preserve">DW appliances provide solutions for the mid-to-large volume data warehouse market, offering low-cost performance most commonly on data volumes in the </w:t>
            </w:r>
            <w:hyperlink r:id="rId8" w:tooltip="Terabyte" w:history="1">
              <w:r w:rsidRPr="009806EB">
                <w:rPr>
                  <w:rFonts w:ascii="Arial" w:hAnsi="Arial" w:cs="Arial"/>
                  <w:sz w:val="20"/>
                  <w:szCs w:val="20"/>
                </w:rPr>
                <w:t>terabyte</w:t>
              </w:r>
            </w:hyperlink>
            <w:r w:rsidRPr="009806EB">
              <w:rPr>
                <w:rFonts w:ascii="Arial" w:hAnsi="Arial" w:cs="Arial"/>
                <w:sz w:val="20"/>
                <w:szCs w:val="20"/>
              </w:rPr>
              <w:t xml:space="preserve"> to </w:t>
            </w:r>
            <w:hyperlink r:id="rId9" w:tooltip="Petabyte" w:history="1">
              <w:r w:rsidRPr="009806EB">
                <w:rPr>
                  <w:rFonts w:ascii="Arial" w:hAnsi="Arial" w:cs="Arial"/>
                  <w:sz w:val="20"/>
                  <w:szCs w:val="20"/>
                </w:rPr>
                <w:t>petabyte</w:t>
              </w:r>
            </w:hyperlink>
            <w:r w:rsidRPr="009806EB">
              <w:rPr>
                <w:rFonts w:ascii="Arial" w:hAnsi="Arial" w:cs="Arial"/>
                <w:sz w:val="20"/>
                <w:szCs w:val="20"/>
              </w:rPr>
              <w:t xml:space="preserve"> range. E.g: Teradata, Netezza, Greenplum. They use massively parallel processing architectures</w:t>
            </w:r>
          </w:p>
        </w:tc>
      </w:tr>
      <w:tr w:rsidR="001023C4" w:rsidTr="009806EB">
        <w:tc>
          <w:tcPr>
            <w:tcW w:w="828" w:type="dxa"/>
          </w:tcPr>
          <w:p w:rsidR="001023C4" w:rsidRPr="009806EB" w:rsidRDefault="001023C4" w:rsidP="009806EB">
            <w:pPr>
              <w:pStyle w:val="ListParagraph"/>
              <w:numPr>
                <w:ilvl w:val="0"/>
                <w:numId w:val="17"/>
              </w:numPr>
              <w:rPr>
                <w:rFonts w:ascii="Arial" w:hAnsi="Arial" w:cs="Arial"/>
                <w:sz w:val="20"/>
                <w:szCs w:val="20"/>
              </w:rPr>
            </w:pPr>
          </w:p>
        </w:tc>
        <w:tc>
          <w:tcPr>
            <w:tcW w:w="2700" w:type="dxa"/>
          </w:tcPr>
          <w:p w:rsidR="001023C4" w:rsidRPr="009806EB" w:rsidRDefault="001023C4" w:rsidP="004268F0">
            <w:pPr>
              <w:rPr>
                <w:rFonts w:ascii="Arial" w:hAnsi="Arial" w:cs="Arial"/>
                <w:sz w:val="20"/>
                <w:szCs w:val="20"/>
              </w:rPr>
            </w:pPr>
            <w:r w:rsidRPr="009806EB">
              <w:rPr>
                <w:rFonts w:ascii="Arial" w:hAnsi="Arial" w:cs="Arial"/>
                <w:sz w:val="20"/>
                <w:szCs w:val="20"/>
              </w:rPr>
              <w:t>ETL Tools</w:t>
            </w:r>
          </w:p>
        </w:tc>
        <w:tc>
          <w:tcPr>
            <w:tcW w:w="7488" w:type="dxa"/>
          </w:tcPr>
          <w:p w:rsidR="001023C4" w:rsidRPr="009806EB" w:rsidRDefault="009806EB" w:rsidP="004268F0">
            <w:pPr>
              <w:rPr>
                <w:rFonts w:ascii="Arial" w:hAnsi="Arial" w:cs="Arial"/>
                <w:sz w:val="20"/>
                <w:szCs w:val="20"/>
              </w:rPr>
            </w:pPr>
            <w:r w:rsidRPr="009806EB">
              <w:rPr>
                <w:rFonts w:ascii="Arial" w:hAnsi="Arial" w:cs="Arial"/>
                <w:sz w:val="20"/>
                <w:szCs w:val="20"/>
              </w:rPr>
              <w:t xml:space="preserve">Tools that do ETL </w:t>
            </w:r>
            <w:r w:rsidRPr="009806EB">
              <w:rPr>
                <w:rFonts w:ascii="Arial" w:hAnsi="Arial" w:cs="Arial"/>
                <w:sz w:val="20"/>
                <w:szCs w:val="20"/>
              </w:rPr>
              <w:sym w:font="Wingdings" w:char="F04A"/>
            </w:r>
            <w:r w:rsidRPr="009806EB">
              <w:rPr>
                <w:rFonts w:ascii="Arial" w:hAnsi="Arial" w:cs="Arial"/>
                <w:sz w:val="20"/>
                <w:szCs w:val="20"/>
              </w:rPr>
              <w:t xml:space="preserve"> e.g: Informatica, AbInitio, SSIS</w:t>
            </w:r>
          </w:p>
        </w:tc>
      </w:tr>
      <w:tr w:rsidR="001023C4" w:rsidTr="009806EB">
        <w:tc>
          <w:tcPr>
            <w:tcW w:w="828" w:type="dxa"/>
          </w:tcPr>
          <w:p w:rsidR="001023C4" w:rsidRPr="009806EB" w:rsidRDefault="001023C4" w:rsidP="009806EB">
            <w:pPr>
              <w:pStyle w:val="ListParagraph"/>
              <w:numPr>
                <w:ilvl w:val="0"/>
                <w:numId w:val="17"/>
              </w:numPr>
              <w:rPr>
                <w:rFonts w:ascii="Arial" w:hAnsi="Arial" w:cs="Arial"/>
                <w:sz w:val="20"/>
                <w:szCs w:val="20"/>
              </w:rPr>
            </w:pPr>
          </w:p>
        </w:tc>
        <w:tc>
          <w:tcPr>
            <w:tcW w:w="2700" w:type="dxa"/>
          </w:tcPr>
          <w:p w:rsidR="001023C4" w:rsidRPr="009806EB" w:rsidRDefault="009806EB" w:rsidP="004268F0">
            <w:pPr>
              <w:rPr>
                <w:rFonts w:ascii="Arial" w:hAnsi="Arial" w:cs="Arial"/>
                <w:sz w:val="20"/>
                <w:szCs w:val="20"/>
              </w:rPr>
            </w:pPr>
            <w:r w:rsidRPr="009806EB">
              <w:rPr>
                <w:rFonts w:ascii="Arial" w:hAnsi="Arial" w:cs="Arial"/>
                <w:sz w:val="20"/>
                <w:szCs w:val="20"/>
              </w:rPr>
              <w:t>BI Tools</w:t>
            </w:r>
          </w:p>
        </w:tc>
        <w:tc>
          <w:tcPr>
            <w:tcW w:w="7488" w:type="dxa"/>
          </w:tcPr>
          <w:p w:rsidR="001023C4" w:rsidRPr="009806EB" w:rsidRDefault="009806EB" w:rsidP="004268F0">
            <w:pPr>
              <w:rPr>
                <w:rFonts w:ascii="Arial" w:hAnsi="Arial" w:cs="Arial"/>
                <w:sz w:val="20"/>
                <w:szCs w:val="20"/>
              </w:rPr>
            </w:pPr>
            <w:r w:rsidRPr="009806EB">
              <w:rPr>
                <w:rFonts w:ascii="Arial" w:hAnsi="Arial" w:cs="Arial"/>
                <w:sz w:val="20"/>
                <w:szCs w:val="20"/>
              </w:rPr>
              <w:t>Business Intelligence /OLAP tools: reporting, dashboarding, that allow for slicing and dicing of data: Microstrategy, Cognos, Business Objects, SSAS, SSRS</w:t>
            </w:r>
          </w:p>
        </w:tc>
      </w:tr>
    </w:tbl>
    <w:p w:rsidR="001023C4" w:rsidRDefault="001023C4" w:rsidP="004268F0">
      <w:pPr>
        <w:rPr>
          <w:rFonts w:ascii="Arial" w:hAnsi="Arial" w:cs="Arial"/>
        </w:rPr>
      </w:pPr>
    </w:p>
    <w:sectPr w:rsidR="001023C4" w:rsidSect="00C65F2A">
      <w:footerReference w:type="default" r:id="rId10"/>
      <w:pgSz w:w="12240" w:h="15840"/>
      <w:pgMar w:top="720" w:right="720" w:bottom="720" w:left="72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14A8" w:rsidRDefault="005E14A8" w:rsidP="00B9698A">
      <w:pPr>
        <w:spacing w:after="0" w:line="240" w:lineRule="auto"/>
      </w:pPr>
      <w:r>
        <w:separator/>
      </w:r>
    </w:p>
  </w:endnote>
  <w:endnote w:type="continuationSeparator" w:id="1">
    <w:p w:rsidR="005E14A8" w:rsidRDefault="005E14A8" w:rsidP="00B9698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5A89" w:rsidRDefault="00CB5A89">
    <w:pPr>
      <w:pStyle w:val="Footer"/>
      <w:pBdr>
        <w:top w:val="thinThickSmallGap" w:sz="24" w:space="1" w:color="622423" w:themeColor="accent2" w:themeShade="7F"/>
      </w:pBdr>
      <w:rPr>
        <w:rFonts w:asciiTheme="majorHAnsi" w:hAnsiTheme="majorHAnsi"/>
      </w:rPr>
    </w:pPr>
    <w:r>
      <w:rPr>
        <w:rFonts w:asciiTheme="majorHAnsi" w:hAnsiTheme="majorHAnsi"/>
      </w:rPr>
      <w:t>Mu Sigma Inc</w:t>
    </w:r>
    <w:r w:rsidR="001A3E75">
      <w:rPr>
        <w:rFonts w:asciiTheme="majorHAnsi" w:hAnsiTheme="majorHAnsi"/>
      </w:rPr>
      <w:t xml:space="preserve">. </w:t>
    </w:r>
    <w:r>
      <w:rPr>
        <w:rFonts w:asciiTheme="majorHAnsi" w:hAnsiTheme="majorHAnsi"/>
      </w:rPr>
      <w:ptab w:relativeTo="margin" w:alignment="right" w:leader="none"/>
    </w:r>
    <w:r>
      <w:rPr>
        <w:rFonts w:asciiTheme="majorHAnsi" w:hAnsiTheme="majorHAnsi"/>
      </w:rPr>
      <w:t xml:space="preserve">Page </w:t>
    </w:r>
    <w:fldSimple w:instr=" PAGE   \* MERGEFORMAT ">
      <w:r w:rsidR="00D37702" w:rsidRPr="00D37702">
        <w:rPr>
          <w:rFonts w:asciiTheme="majorHAnsi" w:hAnsiTheme="majorHAnsi"/>
          <w:noProof/>
        </w:rPr>
        <w:t>1</w:t>
      </w:r>
    </w:fldSimple>
  </w:p>
  <w:p w:rsidR="00CB5A89" w:rsidRDefault="00CB5A8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14A8" w:rsidRDefault="005E14A8" w:rsidP="00B9698A">
      <w:pPr>
        <w:spacing w:after="0" w:line="240" w:lineRule="auto"/>
      </w:pPr>
      <w:r>
        <w:separator/>
      </w:r>
    </w:p>
  </w:footnote>
  <w:footnote w:type="continuationSeparator" w:id="1">
    <w:p w:rsidR="005E14A8" w:rsidRDefault="005E14A8" w:rsidP="00B9698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F7DB2"/>
    <w:multiLevelType w:val="hybridMultilevel"/>
    <w:tmpl w:val="E2EAE6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CAA0311"/>
    <w:multiLevelType w:val="hybridMultilevel"/>
    <w:tmpl w:val="0C08F546"/>
    <w:lvl w:ilvl="0" w:tplc="0409000F">
      <w:start w:val="1"/>
      <w:numFmt w:val="decimal"/>
      <w:lvlText w:val="%1."/>
      <w:lvlJc w:val="left"/>
      <w:pPr>
        <w:ind w:left="720" w:hanging="360"/>
      </w:pPr>
    </w:lvl>
    <w:lvl w:ilvl="1" w:tplc="83E434BA">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87136D"/>
    <w:multiLevelType w:val="hybridMultilevel"/>
    <w:tmpl w:val="D88AA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CB0195"/>
    <w:multiLevelType w:val="hybridMultilevel"/>
    <w:tmpl w:val="A04E3E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0C3D05"/>
    <w:multiLevelType w:val="hybridMultilevel"/>
    <w:tmpl w:val="30BE7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0411E9"/>
    <w:multiLevelType w:val="hybridMultilevel"/>
    <w:tmpl w:val="A7DE7D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3E0024E"/>
    <w:multiLevelType w:val="hybridMultilevel"/>
    <w:tmpl w:val="409883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EB22AC0"/>
    <w:multiLevelType w:val="hybridMultilevel"/>
    <w:tmpl w:val="91BA2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304635"/>
    <w:multiLevelType w:val="hybridMultilevel"/>
    <w:tmpl w:val="5F6870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49F4DE0"/>
    <w:multiLevelType w:val="hybridMultilevel"/>
    <w:tmpl w:val="736C5DB2"/>
    <w:lvl w:ilvl="0" w:tplc="E0549EC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16B41CF"/>
    <w:multiLevelType w:val="hybridMultilevel"/>
    <w:tmpl w:val="E8C8ED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2537B94"/>
    <w:multiLevelType w:val="hybridMultilevel"/>
    <w:tmpl w:val="59FA5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98363C"/>
    <w:multiLevelType w:val="hybridMultilevel"/>
    <w:tmpl w:val="973665B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75E48A4"/>
    <w:multiLevelType w:val="hybridMultilevel"/>
    <w:tmpl w:val="051EAB68"/>
    <w:lvl w:ilvl="0" w:tplc="83E434BA">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D4D01D1"/>
    <w:multiLevelType w:val="hybridMultilevel"/>
    <w:tmpl w:val="DBC005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5B16885"/>
    <w:multiLevelType w:val="hybridMultilevel"/>
    <w:tmpl w:val="1C2057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7606E97"/>
    <w:multiLevelType w:val="hybridMultilevel"/>
    <w:tmpl w:val="CBF62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9"/>
  </w:num>
  <w:num w:numId="4">
    <w:abstractNumId w:val="2"/>
  </w:num>
  <w:num w:numId="5">
    <w:abstractNumId w:val="7"/>
  </w:num>
  <w:num w:numId="6">
    <w:abstractNumId w:val="0"/>
  </w:num>
  <w:num w:numId="7">
    <w:abstractNumId w:val="8"/>
  </w:num>
  <w:num w:numId="8">
    <w:abstractNumId w:val="12"/>
  </w:num>
  <w:num w:numId="9">
    <w:abstractNumId w:val="3"/>
  </w:num>
  <w:num w:numId="10">
    <w:abstractNumId w:val="10"/>
  </w:num>
  <w:num w:numId="11">
    <w:abstractNumId w:val="14"/>
  </w:num>
  <w:num w:numId="12">
    <w:abstractNumId w:val="15"/>
  </w:num>
  <w:num w:numId="13">
    <w:abstractNumId w:val="1"/>
  </w:num>
  <w:num w:numId="14">
    <w:abstractNumId w:val="5"/>
  </w:num>
  <w:num w:numId="15">
    <w:abstractNumId w:val="6"/>
  </w:num>
  <w:num w:numId="16">
    <w:abstractNumId w:val="13"/>
  </w:num>
  <w:num w:numId="1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4268F0"/>
    <w:rsid w:val="00063CB1"/>
    <w:rsid w:val="000C0800"/>
    <w:rsid w:val="000F2ABA"/>
    <w:rsid w:val="001023C4"/>
    <w:rsid w:val="00147F9B"/>
    <w:rsid w:val="001A3E75"/>
    <w:rsid w:val="001B1BC3"/>
    <w:rsid w:val="001C6534"/>
    <w:rsid w:val="001E199D"/>
    <w:rsid w:val="002E63B8"/>
    <w:rsid w:val="003204A3"/>
    <w:rsid w:val="00331518"/>
    <w:rsid w:val="004268F0"/>
    <w:rsid w:val="00432715"/>
    <w:rsid w:val="0043737C"/>
    <w:rsid w:val="00446927"/>
    <w:rsid w:val="00455817"/>
    <w:rsid w:val="00487C54"/>
    <w:rsid w:val="0054569C"/>
    <w:rsid w:val="00545FC8"/>
    <w:rsid w:val="005D75EC"/>
    <w:rsid w:val="005E14A8"/>
    <w:rsid w:val="005E771F"/>
    <w:rsid w:val="00653469"/>
    <w:rsid w:val="00667D02"/>
    <w:rsid w:val="006B6569"/>
    <w:rsid w:val="006D3355"/>
    <w:rsid w:val="006D69D4"/>
    <w:rsid w:val="006E7140"/>
    <w:rsid w:val="007C730F"/>
    <w:rsid w:val="007F28D2"/>
    <w:rsid w:val="008341E7"/>
    <w:rsid w:val="00891213"/>
    <w:rsid w:val="008B1E0F"/>
    <w:rsid w:val="008D1E30"/>
    <w:rsid w:val="0095405D"/>
    <w:rsid w:val="009806EB"/>
    <w:rsid w:val="00996106"/>
    <w:rsid w:val="00A70F2F"/>
    <w:rsid w:val="00A941FF"/>
    <w:rsid w:val="00AA4B3D"/>
    <w:rsid w:val="00AF3E63"/>
    <w:rsid w:val="00B92D64"/>
    <w:rsid w:val="00B9698A"/>
    <w:rsid w:val="00B976CC"/>
    <w:rsid w:val="00BD4386"/>
    <w:rsid w:val="00BE6193"/>
    <w:rsid w:val="00C5075B"/>
    <w:rsid w:val="00C65F2A"/>
    <w:rsid w:val="00C83466"/>
    <w:rsid w:val="00CB5A89"/>
    <w:rsid w:val="00CB6765"/>
    <w:rsid w:val="00CE231C"/>
    <w:rsid w:val="00CE3804"/>
    <w:rsid w:val="00D37702"/>
    <w:rsid w:val="00D75F76"/>
    <w:rsid w:val="00DF6283"/>
    <w:rsid w:val="00E273ED"/>
    <w:rsid w:val="00E46AC4"/>
    <w:rsid w:val="00E50604"/>
    <w:rsid w:val="00E55223"/>
    <w:rsid w:val="00E60459"/>
    <w:rsid w:val="00EC7EE6"/>
    <w:rsid w:val="00ED7731"/>
    <w:rsid w:val="00F11365"/>
    <w:rsid w:val="00F425AC"/>
    <w:rsid w:val="00FF53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40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268F0"/>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DF6283"/>
    <w:pPr>
      <w:ind w:left="720"/>
      <w:contextualSpacing/>
    </w:pPr>
  </w:style>
  <w:style w:type="paragraph" w:styleId="Header">
    <w:name w:val="header"/>
    <w:basedOn w:val="Normal"/>
    <w:link w:val="HeaderChar"/>
    <w:uiPriority w:val="99"/>
    <w:unhideWhenUsed/>
    <w:rsid w:val="00B969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698A"/>
  </w:style>
  <w:style w:type="paragraph" w:styleId="Footer">
    <w:name w:val="footer"/>
    <w:basedOn w:val="Normal"/>
    <w:link w:val="FooterChar"/>
    <w:uiPriority w:val="99"/>
    <w:unhideWhenUsed/>
    <w:rsid w:val="00B969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698A"/>
  </w:style>
  <w:style w:type="paragraph" w:styleId="BalloonText">
    <w:name w:val="Balloon Text"/>
    <w:basedOn w:val="Normal"/>
    <w:link w:val="BalloonTextChar"/>
    <w:uiPriority w:val="99"/>
    <w:semiHidden/>
    <w:unhideWhenUsed/>
    <w:rsid w:val="00B969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698A"/>
    <w:rPr>
      <w:rFonts w:ascii="Tahoma" w:hAnsi="Tahoma" w:cs="Tahoma"/>
      <w:sz w:val="16"/>
      <w:szCs w:val="16"/>
    </w:rPr>
  </w:style>
  <w:style w:type="paragraph" w:styleId="Title">
    <w:name w:val="Title"/>
    <w:basedOn w:val="Normal"/>
    <w:next w:val="Normal"/>
    <w:link w:val="TitleChar"/>
    <w:uiPriority w:val="10"/>
    <w:qFormat/>
    <w:rsid w:val="00C65F2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65F2A"/>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C65F2A"/>
    <w:pPr>
      <w:spacing w:after="0" w:line="240" w:lineRule="auto"/>
    </w:pPr>
  </w:style>
  <w:style w:type="table" w:styleId="TableGrid">
    <w:name w:val="Table Grid"/>
    <w:basedOn w:val="TableNormal"/>
    <w:uiPriority w:val="59"/>
    <w:rsid w:val="001023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9806EB"/>
    <w:rPr>
      <w:color w:val="0000FF"/>
      <w:u w:val="single"/>
    </w:rPr>
  </w:style>
</w:styles>
</file>

<file path=word/webSettings.xml><?xml version="1.0" encoding="utf-8"?>
<w:webSettings xmlns:r="http://schemas.openxmlformats.org/officeDocument/2006/relationships" xmlns:w="http://schemas.openxmlformats.org/wordprocessingml/2006/main">
  <w:divs>
    <w:div w:id="1265261304">
      <w:bodyDiv w:val="1"/>
      <w:marLeft w:val="0"/>
      <w:marRight w:val="0"/>
      <w:marTop w:val="0"/>
      <w:marBottom w:val="0"/>
      <w:divBdr>
        <w:top w:val="none" w:sz="0" w:space="0" w:color="auto"/>
        <w:left w:val="none" w:sz="0" w:space="0" w:color="auto"/>
        <w:bottom w:val="none" w:sz="0" w:space="0" w:color="auto"/>
        <w:right w:val="none" w:sz="0" w:space="0" w:color="auto"/>
      </w:divBdr>
    </w:div>
    <w:div w:id="1739355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Terabyt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en.wikipedia.org/wiki/Petaby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865C69-5497-46E6-8770-47519CFBB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410</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Data Management and Tools Course Outline</vt:lpstr>
    </vt:vector>
  </TitlesOfParts>
  <Company/>
  <LinksUpToDate>false</LinksUpToDate>
  <CharactersWithSpaces>2742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Management and Tools Course Outline</dc:title>
  <dc:subject/>
  <dc:creator>Naren Peri</dc:creator>
  <cp:keywords/>
  <dc:description/>
  <cp:lastModifiedBy>hemalatha.lakkanna</cp:lastModifiedBy>
  <cp:revision>2</cp:revision>
  <dcterms:created xsi:type="dcterms:W3CDTF">2011-09-12T04:19:00Z</dcterms:created>
  <dcterms:modified xsi:type="dcterms:W3CDTF">2011-09-12T04:19:00Z</dcterms:modified>
</cp:coreProperties>
</file>