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BF7" w:rsidRDefault="00A177AD" w:rsidP="00C012A4">
      <w:pPr>
        <w:pStyle w:val="Title"/>
        <w:jc w:val="both"/>
        <w:rPr>
          <w:rFonts w:ascii="Calibri Light" w:hAnsi="Calibri Light"/>
          <w:color w:val="C00000"/>
        </w:rPr>
      </w:pPr>
      <w:r>
        <w:rPr>
          <w:rFonts w:ascii="Calibri Light" w:hAnsi="Calibri Light"/>
          <w:color w:val="C00000"/>
        </w:rPr>
        <w:t>Pharma</w:t>
      </w:r>
      <w:r w:rsidR="00715E23">
        <w:rPr>
          <w:rFonts w:ascii="Calibri Light" w:hAnsi="Calibri Light"/>
          <w:color w:val="C00000"/>
        </w:rPr>
        <w:t>ceutical</w:t>
      </w:r>
      <w:r>
        <w:rPr>
          <w:rFonts w:ascii="Calibri Light" w:hAnsi="Calibri Light"/>
          <w:color w:val="C00000"/>
        </w:rPr>
        <w:t xml:space="preserve"> Industry</w:t>
      </w:r>
    </w:p>
    <w:p w:rsidR="00AF5BF7" w:rsidRPr="00C012A4" w:rsidRDefault="00A177AD" w:rsidP="00C012A4">
      <w:pPr>
        <w:pStyle w:val="NoSpacing"/>
        <w:jc w:val="both"/>
        <w:rPr>
          <w:b/>
          <w:sz w:val="36"/>
          <w:szCs w:val="36"/>
        </w:rPr>
      </w:pPr>
      <w:r w:rsidRPr="00C012A4">
        <w:rPr>
          <w:b/>
          <w:sz w:val="36"/>
          <w:szCs w:val="36"/>
        </w:rPr>
        <w:t>Index</w:t>
      </w:r>
    </w:p>
    <w:p w:rsidR="00AF5BF7" w:rsidRDefault="00AF5BF7" w:rsidP="00C012A4">
      <w:pPr>
        <w:pStyle w:val="NoSpacing"/>
        <w:jc w:val="both"/>
      </w:pPr>
    </w:p>
    <w:p w:rsidR="00A177AD" w:rsidRDefault="00A177AD" w:rsidP="00771BB7">
      <w:pPr>
        <w:pStyle w:val="NoSpacing"/>
        <w:numPr>
          <w:ilvl w:val="0"/>
          <w:numId w:val="21"/>
        </w:numPr>
        <w:spacing w:line="360" w:lineRule="auto"/>
        <w:jc w:val="both"/>
        <w:rPr>
          <w:sz w:val="30"/>
          <w:szCs w:val="30"/>
        </w:rPr>
      </w:pPr>
      <w:r w:rsidRPr="00C012A4">
        <w:rPr>
          <w:sz w:val="30"/>
          <w:szCs w:val="30"/>
        </w:rPr>
        <w:t>Introduction to Pharmaceuticals Industry</w:t>
      </w:r>
    </w:p>
    <w:p w:rsidR="004B4989" w:rsidRPr="00C012A4" w:rsidRDefault="004B4989" w:rsidP="00771BB7">
      <w:pPr>
        <w:pStyle w:val="NoSpacing"/>
        <w:numPr>
          <w:ilvl w:val="0"/>
          <w:numId w:val="21"/>
        </w:numPr>
        <w:spacing w:line="360" w:lineRule="auto"/>
        <w:jc w:val="both"/>
        <w:rPr>
          <w:sz w:val="30"/>
          <w:szCs w:val="30"/>
        </w:rPr>
      </w:pPr>
      <w:r>
        <w:rPr>
          <w:sz w:val="30"/>
          <w:szCs w:val="30"/>
        </w:rPr>
        <w:t>Industry Stakeholders</w:t>
      </w:r>
    </w:p>
    <w:p w:rsidR="00A177AD" w:rsidRDefault="00A177AD" w:rsidP="00771BB7">
      <w:pPr>
        <w:pStyle w:val="NoSpacing"/>
        <w:numPr>
          <w:ilvl w:val="0"/>
          <w:numId w:val="21"/>
        </w:numPr>
        <w:spacing w:line="360" w:lineRule="auto"/>
        <w:jc w:val="both"/>
        <w:rPr>
          <w:sz w:val="30"/>
          <w:szCs w:val="30"/>
        </w:rPr>
      </w:pPr>
      <w:r w:rsidRPr="00C012A4">
        <w:rPr>
          <w:sz w:val="30"/>
          <w:szCs w:val="30"/>
        </w:rPr>
        <w:t>Major Players of the Pharmaceuticals Industry</w:t>
      </w:r>
    </w:p>
    <w:p w:rsidR="004B4989" w:rsidRPr="00C012A4" w:rsidRDefault="004B4989" w:rsidP="00771BB7">
      <w:pPr>
        <w:pStyle w:val="NoSpacing"/>
        <w:numPr>
          <w:ilvl w:val="0"/>
          <w:numId w:val="21"/>
        </w:numPr>
        <w:spacing w:line="360" w:lineRule="auto"/>
        <w:jc w:val="both"/>
        <w:rPr>
          <w:sz w:val="30"/>
          <w:szCs w:val="30"/>
        </w:rPr>
      </w:pPr>
      <w:r>
        <w:rPr>
          <w:sz w:val="30"/>
          <w:szCs w:val="30"/>
        </w:rPr>
        <w:t>Emerging Players of the Industry</w:t>
      </w:r>
    </w:p>
    <w:p w:rsidR="00A177AD" w:rsidRPr="00C012A4" w:rsidRDefault="00A177AD" w:rsidP="00771BB7">
      <w:pPr>
        <w:pStyle w:val="NoSpacing"/>
        <w:numPr>
          <w:ilvl w:val="0"/>
          <w:numId w:val="21"/>
        </w:numPr>
        <w:spacing w:line="360" w:lineRule="auto"/>
        <w:jc w:val="both"/>
        <w:rPr>
          <w:sz w:val="30"/>
          <w:szCs w:val="30"/>
        </w:rPr>
      </w:pPr>
      <w:r w:rsidRPr="00C012A4">
        <w:rPr>
          <w:sz w:val="30"/>
          <w:szCs w:val="30"/>
        </w:rPr>
        <w:t>Major Industry trends</w:t>
      </w:r>
    </w:p>
    <w:p w:rsidR="00A177AD" w:rsidRDefault="00A177AD" w:rsidP="00771BB7">
      <w:pPr>
        <w:pStyle w:val="NoSpacing"/>
        <w:numPr>
          <w:ilvl w:val="0"/>
          <w:numId w:val="21"/>
        </w:numPr>
        <w:spacing w:line="360" w:lineRule="auto"/>
        <w:jc w:val="both"/>
        <w:rPr>
          <w:sz w:val="30"/>
          <w:szCs w:val="30"/>
        </w:rPr>
      </w:pPr>
      <w:r w:rsidRPr="00C012A4">
        <w:rPr>
          <w:sz w:val="30"/>
          <w:szCs w:val="30"/>
        </w:rPr>
        <w:t>Industry Challenges</w:t>
      </w:r>
    </w:p>
    <w:p w:rsidR="00152C80" w:rsidRPr="00152C80" w:rsidRDefault="00152C80" w:rsidP="00771BB7">
      <w:pPr>
        <w:pStyle w:val="NoSpacing"/>
        <w:numPr>
          <w:ilvl w:val="0"/>
          <w:numId w:val="21"/>
        </w:numPr>
        <w:spacing w:line="360" w:lineRule="auto"/>
        <w:jc w:val="both"/>
        <w:rPr>
          <w:sz w:val="30"/>
          <w:szCs w:val="30"/>
        </w:rPr>
      </w:pPr>
      <w:r>
        <w:rPr>
          <w:sz w:val="30"/>
          <w:szCs w:val="30"/>
        </w:rPr>
        <w:t>References</w:t>
      </w:r>
    </w:p>
    <w:p w:rsidR="00A177AD" w:rsidRDefault="00A177AD" w:rsidP="00C012A4">
      <w:pPr>
        <w:pStyle w:val="NoSpacing"/>
        <w:jc w:val="both"/>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0C0F5B" w:rsidRDefault="000C0F5B" w:rsidP="00C012A4">
      <w:pPr>
        <w:pStyle w:val="NoSpacing"/>
        <w:jc w:val="both"/>
        <w:rPr>
          <w:b/>
          <w:sz w:val="36"/>
          <w:szCs w:val="36"/>
        </w:rPr>
      </w:pPr>
    </w:p>
    <w:p w:rsidR="000C0F5B" w:rsidRDefault="000C0F5B"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6A6E41" w:rsidRDefault="006A6E41" w:rsidP="00C012A4">
      <w:pPr>
        <w:pStyle w:val="NoSpacing"/>
        <w:jc w:val="both"/>
        <w:rPr>
          <w:b/>
          <w:sz w:val="36"/>
          <w:szCs w:val="36"/>
        </w:rPr>
      </w:pPr>
    </w:p>
    <w:p w:rsidR="00A177AD" w:rsidRPr="00747D8E" w:rsidRDefault="00A177AD" w:rsidP="00C012A4">
      <w:pPr>
        <w:pStyle w:val="NoSpacing"/>
        <w:jc w:val="both"/>
        <w:rPr>
          <w:b/>
          <w:sz w:val="36"/>
          <w:szCs w:val="36"/>
        </w:rPr>
      </w:pPr>
      <w:r w:rsidRPr="00747D8E">
        <w:rPr>
          <w:b/>
          <w:sz w:val="36"/>
          <w:szCs w:val="36"/>
        </w:rPr>
        <w:lastRenderedPageBreak/>
        <w:t>Introduction to Pharmaceuticals Industry</w:t>
      </w:r>
    </w:p>
    <w:p w:rsidR="00A177AD" w:rsidRDefault="00A177AD" w:rsidP="00C012A4">
      <w:pPr>
        <w:pStyle w:val="NoSpacing"/>
        <w:jc w:val="both"/>
      </w:pPr>
    </w:p>
    <w:p w:rsidR="00C012A4" w:rsidRDefault="00781313" w:rsidP="00FE044E">
      <w:pPr>
        <w:pStyle w:val="NoSpacing"/>
        <w:spacing w:line="360" w:lineRule="auto"/>
        <w:jc w:val="both"/>
        <w:rPr>
          <w:rFonts w:cs="Calibri"/>
          <w:color w:val="222222"/>
          <w:sz w:val="24"/>
          <w:szCs w:val="24"/>
          <w:shd w:val="clear" w:color="auto" w:fill="FFFFFF"/>
        </w:rPr>
      </w:pPr>
      <w:r>
        <w:rPr>
          <w:rFonts w:cs="Calibri"/>
          <w:color w:val="222222"/>
          <w:sz w:val="24"/>
          <w:szCs w:val="24"/>
          <w:shd w:val="clear" w:color="auto" w:fill="FFFFFF"/>
        </w:rPr>
        <w:t xml:space="preserve">Pharmaceutical industry is in general about </w:t>
      </w:r>
      <w:r w:rsidR="00C012A4" w:rsidRPr="00C012A4">
        <w:rPr>
          <w:rFonts w:cs="Calibri"/>
          <w:color w:val="222222"/>
          <w:sz w:val="24"/>
          <w:szCs w:val="24"/>
          <w:shd w:val="clear" w:color="auto" w:fill="FFFFFF"/>
        </w:rPr>
        <w:t>discovery, development, and manufacture of drugs a</w:t>
      </w:r>
      <w:r>
        <w:rPr>
          <w:rFonts w:cs="Calibri"/>
          <w:color w:val="222222"/>
          <w:sz w:val="24"/>
          <w:szCs w:val="24"/>
          <w:shd w:val="clear" w:color="auto" w:fill="FFFFFF"/>
        </w:rPr>
        <w:t xml:space="preserve">nd medications </w:t>
      </w:r>
      <w:r w:rsidR="00C012A4" w:rsidRPr="00C012A4">
        <w:rPr>
          <w:rFonts w:cs="Calibri"/>
          <w:color w:val="222222"/>
          <w:sz w:val="24"/>
          <w:szCs w:val="24"/>
          <w:shd w:val="clear" w:color="auto" w:fill="FFFFFF"/>
        </w:rPr>
        <w:t>by public and private organizations.</w:t>
      </w:r>
      <w:r w:rsidR="00DF7183">
        <w:rPr>
          <w:rFonts w:cs="Calibri"/>
          <w:color w:val="222222"/>
          <w:sz w:val="24"/>
          <w:szCs w:val="24"/>
          <w:shd w:val="clear" w:color="auto" w:fill="FFFFFF"/>
        </w:rPr>
        <w:t xml:space="preserve"> </w:t>
      </w:r>
      <w:r w:rsidR="00C012A4" w:rsidRPr="00C012A4">
        <w:rPr>
          <w:rFonts w:cs="Calibri"/>
          <w:color w:val="222222"/>
          <w:sz w:val="24"/>
          <w:szCs w:val="24"/>
          <w:shd w:val="clear" w:color="auto" w:fill="FFFFFF"/>
        </w:rPr>
        <w:t>The modern era of the pharmaceutical industry—of isolation and purification of compounds, chemical synthesis, and computer-aided drug design—is considered to have begun in the 19th century, thousands of years after intuition and trial and error led humans to believe that plants, animals, and minerals contained medicinal properties. The unification of research in the 20th century in fields such as chemistry and physiology increased the understanding of basic drug-discovery processes. Identifying new drug targets, attaining regulatory approval from government agencies, and refining techniques in drug discovery and development are among the challenges that face the pharmaceutical industry today. The continual evolution and advancement of the pharmaceutical industry is fundamental in the control and elimination of disease around the world.</w:t>
      </w:r>
    </w:p>
    <w:p w:rsidR="00932873" w:rsidRDefault="00932873" w:rsidP="00C012A4">
      <w:pPr>
        <w:pStyle w:val="NoSpacing"/>
        <w:jc w:val="both"/>
        <w:rPr>
          <w:rFonts w:cs="Calibri"/>
          <w:color w:val="222222"/>
          <w:sz w:val="24"/>
          <w:szCs w:val="24"/>
          <w:shd w:val="clear" w:color="auto" w:fill="FFFFFF"/>
        </w:rPr>
      </w:pPr>
    </w:p>
    <w:p w:rsidR="00932873" w:rsidRDefault="00932873" w:rsidP="00932873">
      <w:pPr>
        <w:pStyle w:val="NoSpacing"/>
        <w:jc w:val="both"/>
        <w:rPr>
          <w:rFonts w:cs="Calibri"/>
          <w:b/>
          <w:color w:val="222222"/>
          <w:sz w:val="36"/>
          <w:szCs w:val="36"/>
          <w:shd w:val="clear" w:color="auto" w:fill="FFFFFF"/>
        </w:rPr>
      </w:pPr>
      <w:r w:rsidRPr="00C25459">
        <w:rPr>
          <w:rFonts w:cs="Calibri"/>
          <w:b/>
          <w:color w:val="222222"/>
          <w:sz w:val="36"/>
          <w:szCs w:val="36"/>
          <w:shd w:val="clear" w:color="auto" w:fill="FFFFFF"/>
        </w:rPr>
        <w:t>Industry</w:t>
      </w:r>
      <w:r>
        <w:rPr>
          <w:rFonts w:cs="Calibri"/>
          <w:b/>
          <w:color w:val="222222"/>
          <w:sz w:val="36"/>
          <w:szCs w:val="36"/>
          <w:shd w:val="clear" w:color="auto" w:fill="FFFFFF"/>
        </w:rPr>
        <w:t xml:space="preserve"> Stakeholders</w:t>
      </w:r>
    </w:p>
    <w:p w:rsidR="006750B3" w:rsidRDefault="006750B3" w:rsidP="00932873">
      <w:pPr>
        <w:pStyle w:val="NoSpacing"/>
        <w:jc w:val="both"/>
        <w:rPr>
          <w:rFonts w:cs="Calibri"/>
          <w:b/>
          <w:color w:val="222222"/>
          <w:sz w:val="36"/>
          <w:szCs w:val="36"/>
          <w:shd w:val="clear" w:color="auto" w:fill="FFFFFF"/>
        </w:rPr>
      </w:pPr>
    </w:p>
    <w:p w:rsidR="006750B3" w:rsidRDefault="006750B3" w:rsidP="00FE044E">
      <w:pPr>
        <w:pStyle w:val="NoSpacing"/>
        <w:numPr>
          <w:ilvl w:val="0"/>
          <w:numId w:val="32"/>
        </w:numPr>
        <w:spacing w:line="360" w:lineRule="auto"/>
        <w:jc w:val="both"/>
        <w:rPr>
          <w:rFonts w:cs="Calibri"/>
          <w:color w:val="222222"/>
          <w:sz w:val="24"/>
          <w:szCs w:val="24"/>
          <w:shd w:val="clear" w:color="auto" w:fill="FFFFFF"/>
        </w:rPr>
      </w:pPr>
      <w:r w:rsidRPr="00AE4235">
        <w:rPr>
          <w:rFonts w:cs="Calibri"/>
          <w:b/>
          <w:color w:val="222222"/>
          <w:sz w:val="24"/>
          <w:szCs w:val="24"/>
          <w:shd w:val="clear" w:color="auto" w:fill="FFFFFF"/>
        </w:rPr>
        <w:t>Patients</w:t>
      </w:r>
      <w:r w:rsidR="00AE4235">
        <w:rPr>
          <w:rFonts w:cs="Calibri"/>
          <w:b/>
          <w:color w:val="222222"/>
          <w:sz w:val="24"/>
          <w:szCs w:val="24"/>
          <w:shd w:val="clear" w:color="auto" w:fill="FFFFFF"/>
        </w:rPr>
        <w:t xml:space="preserve">, Caregivers and Patient Organizations: </w:t>
      </w:r>
      <w:r w:rsidR="00781313">
        <w:rPr>
          <w:rFonts w:cs="Calibri"/>
          <w:color w:val="222222"/>
          <w:sz w:val="24"/>
          <w:szCs w:val="24"/>
          <w:shd w:val="clear" w:color="auto" w:fill="FFFFFF"/>
        </w:rPr>
        <w:t>They help</w:t>
      </w:r>
      <w:r w:rsidR="000D7A5D">
        <w:rPr>
          <w:rFonts w:cs="Calibri"/>
          <w:color w:val="222222"/>
          <w:sz w:val="24"/>
          <w:szCs w:val="24"/>
          <w:shd w:val="clear" w:color="auto" w:fill="FFFFFF"/>
        </w:rPr>
        <w:t xml:space="preserve"> industry leaders to</w:t>
      </w:r>
      <w:r w:rsidR="00AE4235">
        <w:rPr>
          <w:rFonts w:cs="Calibri"/>
          <w:color w:val="222222"/>
          <w:sz w:val="24"/>
          <w:szCs w:val="24"/>
          <w:shd w:val="clear" w:color="auto" w:fill="FFFFFF"/>
        </w:rPr>
        <w:t xml:space="preserve"> understand what it is like to </w:t>
      </w:r>
      <w:r w:rsidR="00AE4235" w:rsidRPr="00AE4235">
        <w:rPr>
          <w:rFonts w:cs="Calibri"/>
          <w:color w:val="222222"/>
          <w:sz w:val="24"/>
          <w:szCs w:val="24"/>
          <w:shd w:val="clear" w:color="auto" w:fill="FFFFFF"/>
        </w:rPr>
        <w:t>live</w:t>
      </w:r>
      <w:r w:rsidR="00AE4235">
        <w:rPr>
          <w:rFonts w:cs="Calibri"/>
          <w:color w:val="222222"/>
          <w:sz w:val="24"/>
          <w:szCs w:val="24"/>
          <w:shd w:val="clear" w:color="auto" w:fill="FFFFFF"/>
        </w:rPr>
        <w:t xml:space="preserve"> with a disease, the challenges </w:t>
      </w:r>
      <w:r w:rsidR="00AE4235" w:rsidRPr="00AE4235">
        <w:rPr>
          <w:rFonts w:cs="Calibri"/>
          <w:color w:val="222222"/>
          <w:sz w:val="24"/>
          <w:szCs w:val="24"/>
          <w:shd w:val="clear" w:color="auto" w:fill="FFFFFF"/>
        </w:rPr>
        <w:t>faci</w:t>
      </w:r>
      <w:r w:rsidR="00AE4235">
        <w:rPr>
          <w:rFonts w:cs="Calibri"/>
          <w:color w:val="222222"/>
          <w:sz w:val="24"/>
          <w:szCs w:val="24"/>
          <w:shd w:val="clear" w:color="auto" w:fill="FFFFFF"/>
        </w:rPr>
        <w:t xml:space="preserve">ng patients and their families, </w:t>
      </w:r>
      <w:r w:rsidR="00AE4235" w:rsidRPr="00AE4235">
        <w:rPr>
          <w:rFonts w:cs="Calibri"/>
          <w:color w:val="222222"/>
          <w:sz w:val="24"/>
          <w:szCs w:val="24"/>
          <w:shd w:val="clear" w:color="auto" w:fill="FFFFFF"/>
        </w:rPr>
        <w:t>an</w:t>
      </w:r>
      <w:r w:rsidR="000D7A5D">
        <w:rPr>
          <w:rFonts w:cs="Calibri"/>
          <w:color w:val="222222"/>
          <w:sz w:val="24"/>
          <w:szCs w:val="24"/>
          <w:shd w:val="clear" w:color="auto" w:fill="FFFFFF"/>
        </w:rPr>
        <w:t xml:space="preserve">d the role that diagnostics and </w:t>
      </w:r>
      <w:r w:rsidR="00AE4235" w:rsidRPr="00AE4235">
        <w:rPr>
          <w:rFonts w:cs="Calibri"/>
          <w:color w:val="222222"/>
          <w:sz w:val="24"/>
          <w:szCs w:val="24"/>
          <w:shd w:val="clear" w:color="auto" w:fill="FFFFFF"/>
        </w:rPr>
        <w:t>treat</w:t>
      </w:r>
      <w:r w:rsidR="00AE4235">
        <w:rPr>
          <w:rFonts w:cs="Calibri"/>
          <w:color w:val="222222"/>
          <w:sz w:val="24"/>
          <w:szCs w:val="24"/>
          <w:shd w:val="clear" w:color="auto" w:fill="FFFFFF"/>
        </w:rPr>
        <w:t xml:space="preserve">ments play in managing disease. </w:t>
      </w:r>
      <w:r w:rsidR="00AE4235" w:rsidRPr="00AE4235">
        <w:rPr>
          <w:rFonts w:cs="Calibri"/>
          <w:color w:val="222222"/>
          <w:sz w:val="24"/>
          <w:szCs w:val="24"/>
          <w:shd w:val="clear" w:color="auto" w:fill="FFFFFF"/>
        </w:rPr>
        <w:t>Guid</w:t>
      </w:r>
      <w:r w:rsidR="000D7A5D">
        <w:rPr>
          <w:rFonts w:cs="Calibri"/>
          <w:color w:val="222222"/>
          <w:sz w:val="24"/>
          <w:szCs w:val="24"/>
          <w:shd w:val="clear" w:color="auto" w:fill="FFFFFF"/>
        </w:rPr>
        <w:t>e industry people</w:t>
      </w:r>
      <w:r w:rsidR="00AE4235">
        <w:rPr>
          <w:rFonts w:cs="Calibri"/>
          <w:color w:val="222222"/>
          <w:sz w:val="24"/>
          <w:szCs w:val="24"/>
          <w:shd w:val="clear" w:color="auto" w:fill="FFFFFF"/>
        </w:rPr>
        <w:t xml:space="preserve"> in developing new products </w:t>
      </w:r>
      <w:r w:rsidR="00AE4235" w:rsidRPr="00AE4235">
        <w:rPr>
          <w:rFonts w:cs="Calibri"/>
          <w:color w:val="222222"/>
          <w:sz w:val="24"/>
          <w:szCs w:val="24"/>
          <w:shd w:val="clear" w:color="auto" w:fill="FFFFFF"/>
        </w:rPr>
        <w:t>and</w:t>
      </w:r>
      <w:r w:rsidR="00AE4235">
        <w:rPr>
          <w:rFonts w:cs="Calibri"/>
          <w:color w:val="222222"/>
          <w:sz w:val="24"/>
          <w:szCs w:val="24"/>
          <w:shd w:val="clear" w:color="auto" w:fill="FFFFFF"/>
        </w:rPr>
        <w:t xml:space="preserve"> in co-developing education and training materials. </w:t>
      </w:r>
      <w:r w:rsidR="00AE4235" w:rsidRPr="00AE4235">
        <w:rPr>
          <w:rFonts w:cs="Calibri"/>
          <w:color w:val="222222"/>
          <w:sz w:val="24"/>
          <w:szCs w:val="24"/>
          <w:shd w:val="clear" w:color="auto" w:fill="FFFFFF"/>
        </w:rPr>
        <w:t>Provide insights i</w:t>
      </w:r>
      <w:r w:rsidR="009B1CBB">
        <w:rPr>
          <w:rFonts w:cs="Calibri"/>
          <w:color w:val="222222"/>
          <w:sz w:val="24"/>
          <w:szCs w:val="24"/>
          <w:shd w:val="clear" w:color="auto" w:fill="FFFFFF"/>
        </w:rPr>
        <w:t xml:space="preserve">nto how to </w:t>
      </w:r>
      <w:r w:rsidR="00AE4235">
        <w:rPr>
          <w:rFonts w:cs="Calibri"/>
          <w:color w:val="222222"/>
          <w:sz w:val="24"/>
          <w:szCs w:val="24"/>
          <w:shd w:val="clear" w:color="auto" w:fill="FFFFFF"/>
        </w:rPr>
        <w:t xml:space="preserve">assist </w:t>
      </w:r>
      <w:r w:rsidR="00AE4235" w:rsidRPr="00AE4235">
        <w:rPr>
          <w:rFonts w:cs="Calibri"/>
          <w:color w:val="222222"/>
          <w:sz w:val="24"/>
          <w:szCs w:val="24"/>
          <w:shd w:val="clear" w:color="auto" w:fill="FFFFFF"/>
        </w:rPr>
        <w:t>heal</w:t>
      </w:r>
      <w:r w:rsidR="00AE4235">
        <w:rPr>
          <w:rFonts w:cs="Calibri"/>
          <w:color w:val="222222"/>
          <w:sz w:val="24"/>
          <w:szCs w:val="24"/>
          <w:shd w:val="clear" w:color="auto" w:fill="FFFFFF"/>
        </w:rPr>
        <w:t xml:space="preserve">thcare professionals to support </w:t>
      </w:r>
      <w:r w:rsidR="009B1CBB">
        <w:rPr>
          <w:rFonts w:cs="Calibri"/>
          <w:color w:val="222222"/>
          <w:sz w:val="24"/>
          <w:szCs w:val="24"/>
          <w:shd w:val="clear" w:color="auto" w:fill="FFFFFF"/>
        </w:rPr>
        <w:t>them</w:t>
      </w:r>
      <w:r w:rsidR="00AE4235" w:rsidRPr="00AE4235">
        <w:rPr>
          <w:rFonts w:cs="Calibri"/>
          <w:color w:val="222222"/>
          <w:sz w:val="24"/>
          <w:szCs w:val="24"/>
          <w:shd w:val="clear" w:color="auto" w:fill="FFFFFF"/>
        </w:rPr>
        <w:t>.</w:t>
      </w:r>
    </w:p>
    <w:p w:rsidR="00F8354F" w:rsidRDefault="00F8354F" w:rsidP="00FE044E">
      <w:pPr>
        <w:pStyle w:val="NoSpacing"/>
        <w:spacing w:line="360" w:lineRule="auto"/>
        <w:jc w:val="both"/>
        <w:rPr>
          <w:rFonts w:cs="Calibri"/>
          <w:color w:val="222222"/>
          <w:sz w:val="24"/>
          <w:szCs w:val="24"/>
          <w:shd w:val="clear" w:color="auto" w:fill="FFFFFF"/>
        </w:rPr>
      </w:pPr>
    </w:p>
    <w:p w:rsidR="00AE4235" w:rsidRPr="00F8354F" w:rsidRDefault="00F8354F" w:rsidP="00FE044E">
      <w:pPr>
        <w:pStyle w:val="lead"/>
        <w:numPr>
          <w:ilvl w:val="0"/>
          <w:numId w:val="32"/>
        </w:numPr>
        <w:shd w:val="clear" w:color="auto" w:fill="FFFFFF"/>
        <w:spacing w:before="0" w:beforeAutospacing="0" w:after="150" w:afterAutospacing="0" w:line="360" w:lineRule="auto"/>
        <w:rPr>
          <w:rFonts w:ascii="Calibri" w:eastAsiaTheme="minorEastAsia" w:hAnsi="Calibri" w:cs="Calibri"/>
          <w:color w:val="222222"/>
          <w:shd w:val="clear" w:color="auto" w:fill="FFFFFF"/>
          <w:lang w:eastAsia="ja-JP"/>
        </w:rPr>
      </w:pPr>
      <w:r w:rsidRPr="00822E2D">
        <w:rPr>
          <w:rFonts w:ascii="Calibri" w:eastAsiaTheme="minorEastAsia" w:hAnsi="Calibri" w:cs="Calibri"/>
          <w:b/>
          <w:color w:val="222222"/>
          <w:shd w:val="clear" w:color="auto" w:fill="FFFFFF"/>
          <w:lang w:eastAsia="ja-JP"/>
        </w:rPr>
        <w:t>Manufacturers:</w:t>
      </w:r>
      <w:r>
        <w:rPr>
          <w:rFonts w:cs="Calibri"/>
          <w:b/>
          <w:color w:val="222222"/>
          <w:shd w:val="clear" w:color="auto" w:fill="FFFFFF"/>
        </w:rPr>
        <w:t xml:space="preserve"> </w:t>
      </w:r>
      <w:r w:rsidRPr="00934E55">
        <w:rPr>
          <w:rFonts w:ascii="Calibri" w:eastAsiaTheme="minorEastAsia" w:hAnsi="Calibri" w:cs="Calibri"/>
          <w:color w:val="222222"/>
          <w:shd w:val="clear" w:color="auto" w:fill="FFFFFF"/>
          <w:lang w:eastAsia="ja-JP"/>
        </w:rPr>
        <w:t>A pharmaceutical company, or drug company, is a commercial business licensed to research, develop, market and/or distribute drugs, most commonly in the context of healthcare.</w:t>
      </w:r>
      <w:r>
        <w:rPr>
          <w:rFonts w:ascii="Calibri" w:eastAsiaTheme="minorEastAsia" w:hAnsi="Calibri" w:cs="Calibri"/>
          <w:color w:val="222222"/>
          <w:shd w:val="clear" w:color="auto" w:fill="FFFFFF"/>
          <w:lang w:eastAsia="ja-JP"/>
        </w:rPr>
        <w:t xml:space="preserve"> </w:t>
      </w:r>
      <w:r w:rsidRPr="00934E55">
        <w:rPr>
          <w:rFonts w:ascii="Calibri" w:eastAsiaTheme="minorEastAsia" w:hAnsi="Calibri" w:cs="Calibri"/>
          <w:color w:val="222222"/>
          <w:shd w:val="clear" w:color="auto" w:fill="FFFFFF"/>
          <w:lang w:eastAsia="ja-JP"/>
        </w:rPr>
        <w:t>They can deal in generic and/or brand medications.</w:t>
      </w:r>
      <w:r>
        <w:rPr>
          <w:rFonts w:eastAsiaTheme="minorEastAsia" w:cs="Calibri"/>
          <w:color w:val="222222"/>
          <w:shd w:val="clear" w:color="auto" w:fill="FFFFFF"/>
          <w:lang w:eastAsia="ja-JP"/>
        </w:rPr>
        <w:t xml:space="preserve"> </w:t>
      </w:r>
      <w:r w:rsidRPr="00934E55">
        <w:rPr>
          <w:rFonts w:ascii="Calibri" w:eastAsiaTheme="minorEastAsia" w:hAnsi="Calibri" w:cs="Calibri"/>
          <w:color w:val="222222"/>
          <w:shd w:val="clear" w:color="auto" w:fill="FFFFFF"/>
          <w:lang w:eastAsia="ja-JP"/>
        </w:rPr>
        <w:t>They are subject to a variety of laws and regulations regarding the patenting, testing and marketing of drugs, particularly prescription drugs.</w:t>
      </w:r>
      <w:r>
        <w:rPr>
          <w:rFonts w:eastAsiaTheme="minorEastAsia" w:cs="Calibri"/>
          <w:color w:val="222222"/>
          <w:shd w:val="clear" w:color="auto" w:fill="FFFFFF"/>
          <w:lang w:eastAsia="ja-JP"/>
        </w:rPr>
        <w:t xml:space="preserve"> </w:t>
      </w:r>
    </w:p>
    <w:p w:rsidR="006750B3" w:rsidRDefault="006750B3" w:rsidP="00FE044E">
      <w:pPr>
        <w:pStyle w:val="NoSpacing"/>
        <w:numPr>
          <w:ilvl w:val="0"/>
          <w:numId w:val="32"/>
        </w:numPr>
        <w:spacing w:line="360" w:lineRule="auto"/>
        <w:jc w:val="both"/>
        <w:rPr>
          <w:rFonts w:cs="Calibri"/>
          <w:color w:val="222222"/>
          <w:sz w:val="24"/>
          <w:szCs w:val="24"/>
          <w:shd w:val="clear" w:color="auto" w:fill="FFFFFF"/>
        </w:rPr>
      </w:pPr>
      <w:r w:rsidRPr="00AE4235">
        <w:rPr>
          <w:rFonts w:cs="Calibri"/>
          <w:b/>
          <w:color w:val="222222"/>
          <w:sz w:val="24"/>
          <w:szCs w:val="24"/>
          <w:shd w:val="clear" w:color="auto" w:fill="FFFFFF"/>
        </w:rPr>
        <w:t xml:space="preserve">Physicians &amp; </w:t>
      </w:r>
      <w:r w:rsidR="00AE4235" w:rsidRPr="00AE4235">
        <w:rPr>
          <w:rFonts w:cs="Calibri"/>
          <w:b/>
          <w:color w:val="222222"/>
          <w:sz w:val="24"/>
          <w:szCs w:val="24"/>
          <w:shd w:val="clear" w:color="auto" w:fill="FFFFFF"/>
        </w:rPr>
        <w:t>Health Care Professionals:</w:t>
      </w:r>
      <w:r w:rsidR="00AE4235" w:rsidRPr="00AE4235">
        <w:t xml:space="preserve"> </w:t>
      </w:r>
      <w:r w:rsidR="00AE4235" w:rsidRPr="00AE4235">
        <w:rPr>
          <w:rFonts w:cs="Calibri"/>
          <w:color w:val="222222"/>
          <w:sz w:val="24"/>
          <w:szCs w:val="24"/>
          <w:shd w:val="clear" w:color="auto" w:fill="FFFFFF"/>
        </w:rPr>
        <w:t>Improv</w:t>
      </w:r>
      <w:r w:rsidR="000D7A5D">
        <w:rPr>
          <w:rFonts w:cs="Calibri"/>
          <w:color w:val="222222"/>
          <w:sz w:val="24"/>
          <w:szCs w:val="24"/>
          <w:shd w:val="clear" w:color="auto" w:fill="FFFFFF"/>
        </w:rPr>
        <w:t xml:space="preserve">e each other’s understanding of </w:t>
      </w:r>
      <w:r w:rsidR="00AE4235" w:rsidRPr="00AE4235">
        <w:rPr>
          <w:rFonts w:cs="Calibri"/>
          <w:color w:val="222222"/>
          <w:sz w:val="24"/>
          <w:szCs w:val="24"/>
          <w:shd w:val="clear" w:color="auto" w:fill="FFFFFF"/>
        </w:rPr>
        <w:t xml:space="preserve">new </w:t>
      </w:r>
      <w:r w:rsidR="00AE4235">
        <w:rPr>
          <w:rFonts w:cs="Calibri"/>
          <w:color w:val="222222"/>
          <w:sz w:val="24"/>
          <w:szCs w:val="24"/>
          <w:shd w:val="clear" w:color="auto" w:fill="FFFFFF"/>
        </w:rPr>
        <w:t xml:space="preserve">and emerging clinical data, and </w:t>
      </w:r>
      <w:r w:rsidR="00AE4235" w:rsidRPr="00AE4235">
        <w:rPr>
          <w:rFonts w:cs="Calibri"/>
          <w:color w:val="222222"/>
          <w:sz w:val="24"/>
          <w:szCs w:val="24"/>
          <w:shd w:val="clear" w:color="auto" w:fill="FFFFFF"/>
        </w:rPr>
        <w:t>advan</w:t>
      </w:r>
      <w:r w:rsidR="00AE4235">
        <w:rPr>
          <w:rFonts w:cs="Calibri"/>
          <w:color w:val="222222"/>
          <w:sz w:val="24"/>
          <w:szCs w:val="24"/>
          <w:shd w:val="clear" w:color="auto" w:fill="FFFFFF"/>
        </w:rPr>
        <w:t xml:space="preserve">ces in treatment and diagnosis. </w:t>
      </w:r>
      <w:r w:rsidR="00AE4235" w:rsidRPr="00AE4235">
        <w:rPr>
          <w:rFonts w:cs="Calibri"/>
          <w:color w:val="222222"/>
          <w:sz w:val="24"/>
          <w:szCs w:val="24"/>
          <w:shd w:val="clear" w:color="auto" w:fill="FFFFFF"/>
        </w:rPr>
        <w:t>Provi</w:t>
      </w:r>
      <w:r w:rsidR="00AE4235">
        <w:rPr>
          <w:rFonts w:cs="Calibri"/>
          <w:color w:val="222222"/>
          <w:sz w:val="24"/>
          <w:szCs w:val="24"/>
          <w:shd w:val="clear" w:color="auto" w:fill="FFFFFF"/>
        </w:rPr>
        <w:t xml:space="preserve">de </w:t>
      </w:r>
      <w:r w:rsidR="00AE4235">
        <w:rPr>
          <w:rFonts w:cs="Calibri"/>
          <w:color w:val="222222"/>
          <w:sz w:val="24"/>
          <w:szCs w:val="24"/>
          <w:shd w:val="clear" w:color="auto" w:fill="FFFFFF"/>
        </w:rPr>
        <w:lastRenderedPageBreak/>
        <w:t xml:space="preserve">information and training for </w:t>
      </w:r>
      <w:r w:rsidR="00AE4235" w:rsidRPr="00AE4235">
        <w:rPr>
          <w:rFonts w:cs="Calibri"/>
          <w:color w:val="222222"/>
          <w:sz w:val="24"/>
          <w:szCs w:val="24"/>
          <w:shd w:val="clear" w:color="auto" w:fill="FFFFFF"/>
        </w:rPr>
        <w:t>HC</w:t>
      </w:r>
      <w:r w:rsidR="00AE4235">
        <w:rPr>
          <w:rFonts w:cs="Calibri"/>
          <w:color w:val="222222"/>
          <w:sz w:val="24"/>
          <w:szCs w:val="24"/>
          <w:shd w:val="clear" w:color="auto" w:fill="FFFFFF"/>
        </w:rPr>
        <w:t xml:space="preserve">Ps on treatment options, safety </w:t>
      </w:r>
      <w:r w:rsidR="00AE4235" w:rsidRPr="00AE4235">
        <w:rPr>
          <w:rFonts w:cs="Calibri"/>
          <w:color w:val="222222"/>
          <w:sz w:val="24"/>
          <w:szCs w:val="24"/>
          <w:shd w:val="clear" w:color="auto" w:fill="FFFFFF"/>
        </w:rPr>
        <w:t>concern</w:t>
      </w:r>
      <w:r w:rsidR="00AE4235">
        <w:rPr>
          <w:rFonts w:cs="Calibri"/>
          <w:color w:val="222222"/>
          <w:sz w:val="24"/>
          <w:szCs w:val="24"/>
          <w:shd w:val="clear" w:color="auto" w:fill="FFFFFF"/>
        </w:rPr>
        <w:t xml:space="preserve">s, correct product use, quality control and other areas. </w:t>
      </w:r>
      <w:r w:rsidR="00AE4235" w:rsidRPr="00AE4235">
        <w:rPr>
          <w:rFonts w:cs="Calibri"/>
          <w:color w:val="222222"/>
          <w:sz w:val="24"/>
          <w:szCs w:val="24"/>
          <w:shd w:val="clear" w:color="auto" w:fill="FFFFFF"/>
        </w:rPr>
        <w:t xml:space="preserve">Help </w:t>
      </w:r>
      <w:r w:rsidR="00AE4235">
        <w:rPr>
          <w:rFonts w:cs="Calibri"/>
          <w:color w:val="222222"/>
          <w:sz w:val="24"/>
          <w:szCs w:val="24"/>
          <w:shd w:val="clear" w:color="auto" w:fill="FFFFFF"/>
        </w:rPr>
        <w:t xml:space="preserve">produce educational material on </w:t>
      </w:r>
      <w:r w:rsidR="00AE4235" w:rsidRPr="00AE4235">
        <w:rPr>
          <w:rFonts w:cs="Calibri"/>
          <w:color w:val="222222"/>
          <w:sz w:val="24"/>
          <w:szCs w:val="24"/>
          <w:shd w:val="clear" w:color="auto" w:fill="FFFFFF"/>
        </w:rPr>
        <w:t>dise</w:t>
      </w:r>
      <w:r w:rsidR="00AE4235">
        <w:rPr>
          <w:rFonts w:cs="Calibri"/>
          <w:color w:val="222222"/>
          <w:sz w:val="24"/>
          <w:szCs w:val="24"/>
          <w:shd w:val="clear" w:color="auto" w:fill="FFFFFF"/>
        </w:rPr>
        <w:t xml:space="preserve">ases, treatment options, safety </w:t>
      </w:r>
      <w:r w:rsidR="00AE4235" w:rsidRPr="00AE4235">
        <w:rPr>
          <w:rFonts w:cs="Calibri"/>
          <w:color w:val="222222"/>
          <w:sz w:val="24"/>
          <w:szCs w:val="24"/>
          <w:shd w:val="clear" w:color="auto" w:fill="FFFFFF"/>
        </w:rPr>
        <w:t>concerns and correct product use.</w:t>
      </w:r>
    </w:p>
    <w:p w:rsidR="00AE4235" w:rsidRDefault="00AE4235" w:rsidP="00FE044E">
      <w:pPr>
        <w:pStyle w:val="NoSpacing"/>
        <w:spacing w:line="360" w:lineRule="auto"/>
        <w:jc w:val="both"/>
        <w:rPr>
          <w:rFonts w:cs="Calibri"/>
          <w:color w:val="222222"/>
          <w:sz w:val="24"/>
          <w:szCs w:val="24"/>
          <w:shd w:val="clear" w:color="auto" w:fill="FFFFFF"/>
        </w:rPr>
      </w:pPr>
    </w:p>
    <w:p w:rsidR="00AE4235" w:rsidRPr="00AE4235" w:rsidRDefault="00AE4235" w:rsidP="00FE044E">
      <w:pPr>
        <w:pStyle w:val="NoSpacing"/>
        <w:numPr>
          <w:ilvl w:val="0"/>
          <w:numId w:val="32"/>
        </w:numPr>
        <w:spacing w:line="360" w:lineRule="auto"/>
        <w:jc w:val="both"/>
        <w:rPr>
          <w:rFonts w:cs="Calibri"/>
          <w:color w:val="222222"/>
          <w:sz w:val="24"/>
          <w:szCs w:val="24"/>
          <w:shd w:val="clear" w:color="auto" w:fill="FFFFFF"/>
        </w:rPr>
      </w:pPr>
      <w:r w:rsidRPr="00AE4235">
        <w:rPr>
          <w:b/>
        </w:rPr>
        <w:t>Governments, Public and Private Payers, and Health Technology Associations (HTAs):</w:t>
      </w:r>
      <w:r w:rsidRPr="00AE4235">
        <w:t xml:space="preserve"> </w:t>
      </w:r>
      <w:r w:rsidRPr="00AE4235">
        <w:rPr>
          <w:rFonts w:cs="Calibri"/>
          <w:color w:val="222222"/>
          <w:sz w:val="24"/>
          <w:szCs w:val="24"/>
          <w:shd w:val="clear" w:color="auto" w:fill="FFFFFF"/>
        </w:rPr>
        <w:t>Co-develop methods for evaluating the medical value and benefit of n</w:t>
      </w:r>
      <w:r w:rsidR="006A4A3F">
        <w:rPr>
          <w:rFonts w:cs="Calibri"/>
          <w:color w:val="222222"/>
          <w:sz w:val="24"/>
          <w:szCs w:val="24"/>
          <w:shd w:val="clear" w:color="auto" w:fill="FFFFFF"/>
        </w:rPr>
        <w:t xml:space="preserve">ew medicines and diagnostics. </w:t>
      </w:r>
      <w:r w:rsidRPr="00AE4235">
        <w:rPr>
          <w:rFonts w:cs="Calibri"/>
          <w:color w:val="222222"/>
          <w:sz w:val="24"/>
          <w:szCs w:val="24"/>
          <w:shd w:val="clear" w:color="auto" w:fill="FFFFFF"/>
        </w:rPr>
        <w:t>Negotiate commercial arrangements that im</w:t>
      </w:r>
      <w:r w:rsidR="006A4A3F">
        <w:rPr>
          <w:rFonts w:cs="Calibri"/>
          <w:color w:val="222222"/>
          <w:sz w:val="24"/>
          <w:szCs w:val="24"/>
          <w:shd w:val="clear" w:color="auto" w:fill="FFFFFF"/>
        </w:rPr>
        <w:t xml:space="preserve">prove access to products. </w:t>
      </w:r>
      <w:r w:rsidRPr="00AE4235">
        <w:rPr>
          <w:rFonts w:cs="Calibri"/>
          <w:color w:val="222222"/>
          <w:sz w:val="24"/>
          <w:szCs w:val="24"/>
          <w:shd w:val="clear" w:color="auto" w:fill="FFFFFF"/>
        </w:rPr>
        <w:t xml:space="preserve">Co-develop flexible pricing models to address affordability across the different </w:t>
      </w:r>
      <w:r w:rsidR="006A4A3F">
        <w:rPr>
          <w:rFonts w:cs="Calibri"/>
          <w:color w:val="222222"/>
          <w:sz w:val="24"/>
          <w:szCs w:val="24"/>
          <w:shd w:val="clear" w:color="auto" w:fill="FFFFFF"/>
        </w:rPr>
        <w:t xml:space="preserve">regions. </w:t>
      </w:r>
      <w:r w:rsidRPr="00AE4235">
        <w:rPr>
          <w:rFonts w:cs="Calibri"/>
          <w:color w:val="222222"/>
          <w:sz w:val="24"/>
          <w:szCs w:val="24"/>
          <w:shd w:val="clear" w:color="auto" w:fill="FFFFFF"/>
        </w:rPr>
        <w:t>Jointly develop tailored programs with governments to strengthen healthcare infrastructure.</w:t>
      </w:r>
    </w:p>
    <w:p w:rsidR="00AE4235" w:rsidRDefault="00AE4235" w:rsidP="00FE044E">
      <w:pPr>
        <w:pStyle w:val="NoSpacing"/>
        <w:spacing w:line="360" w:lineRule="auto"/>
        <w:jc w:val="both"/>
        <w:rPr>
          <w:rFonts w:cs="Calibri"/>
          <w:color w:val="222222"/>
          <w:sz w:val="24"/>
          <w:szCs w:val="24"/>
          <w:shd w:val="clear" w:color="auto" w:fill="FFFFFF"/>
        </w:rPr>
      </w:pPr>
    </w:p>
    <w:p w:rsidR="001B24CB" w:rsidRDefault="001B24CB" w:rsidP="00FE044E">
      <w:pPr>
        <w:pStyle w:val="NoSpacing"/>
        <w:numPr>
          <w:ilvl w:val="0"/>
          <w:numId w:val="32"/>
        </w:numPr>
        <w:spacing w:line="360" w:lineRule="auto"/>
        <w:jc w:val="both"/>
        <w:rPr>
          <w:rFonts w:cs="Calibri"/>
          <w:color w:val="222222"/>
          <w:sz w:val="24"/>
          <w:szCs w:val="24"/>
          <w:shd w:val="clear" w:color="auto" w:fill="FFFFFF"/>
        </w:rPr>
      </w:pPr>
      <w:r>
        <w:rPr>
          <w:b/>
        </w:rPr>
        <w:t>Non-profit O</w:t>
      </w:r>
      <w:r w:rsidRPr="001B24CB">
        <w:rPr>
          <w:b/>
        </w:rPr>
        <w:t>rganizations (NGOs):</w:t>
      </w:r>
      <w:r w:rsidRPr="001B24CB">
        <w:t xml:space="preserve"> </w:t>
      </w:r>
      <w:r w:rsidRPr="001B24CB">
        <w:rPr>
          <w:rFonts w:cs="Calibri"/>
          <w:color w:val="222222"/>
          <w:sz w:val="24"/>
          <w:szCs w:val="24"/>
          <w:shd w:val="clear" w:color="auto" w:fill="FFFFFF"/>
        </w:rPr>
        <w:t>Work with funding agencies, charities, foundations and other non-profit organizations</w:t>
      </w:r>
      <w:r w:rsidR="00A1224E">
        <w:rPr>
          <w:rFonts w:cs="Calibri"/>
          <w:color w:val="222222"/>
          <w:sz w:val="24"/>
          <w:szCs w:val="24"/>
          <w:shd w:val="clear" w:color="auto" w:fill="FFFFFF"/>
        </w:rPr>
        <w:t xml:space="preserve"> to develop program</w:t>
      </w:r>
      <w:r w:rsidRPr="001B24CB">
        <w:rPr>
          <w:rFonts w:cs="Calibri"/>
          <w:color w:val="222222"/>
          <w:sz w:val="24"/>
          <w:szCs w:val="24"/>
          <w:shd w:val="clear" w:color="auto" w:fill="FFFFFF"/>
        </w:rPr>
        <w:t>s aimed at strengthening local healthcare systems and addressing funding challenges</w:t>
      </w:r>
      <w:r>
        <w:rPr>
          <w:rFonts w:cs="Calibri"/>
          <w:color w:val="222222"/>
          <w:sz w:val="24"/>
          <w:szCs w:val="24"/>
          <w:shd w:val="clear" w:color="auto" w:fill="FFFFFF"/>
        </w:rPr>
        <w:t>.</w:t>
      </w:r>
    </w:p>
    <w:p w:rsidR="009B1CBB" w:rsidRDefault="009B1CBB" w:rsidP="00FE044E">
      <w:pPr>
        <w:pStyle w:val="NoSpacing"/>
        <w:spacing w:line="360" w:lineRule="auto"/>
        <w:jc w:val="both"/>
        <w:rPr>
          <w:rFonts w:cs="Calibri"/>
          <w:color w:val="222222"/>
          <w:sz w:val="24"/>
          <w:szCs w:val="24"/>
          <w:shd w:val="clear" w:color="auto" w:fill="FFFFFF"/>
        </w:rPr>
      </w:pPr>
    </w:p>
    <w:p w:rsidR="009B1CBB" w:rsidRDefault="009B1CBB" w:rsidP="00FE044E">
      <w:pPr>
        <w:pStyle w:val="NoSpacing"/>
        <w:numPr>
          <w:ilvl w:val="0"/>
          <w:numId w:val="32"/>
        </w:numPr>
        <w:spacing w:line="360" w:lineRule="auto"/>
        <w:jc w:val="both"/>
        <w:rPr>
          <w:rFonts w:cs="Calibri"/>
          <w:color w:val="222222"/>
          <w:sz w:val="24"/>
          <w:szCs w:val="24"/>
          <w:shd w:val="clear" w:color="auto" w:fill="FFFFFF"/>
        </w:rPr>
      </w:pPr>
      <w:r w:rsidRPr="009B1CBB">
        <w:rPr>
          <w:b/>
        </w:rPr>
        <w:t>Suppliers and other business partners:</w:t>
      </w:r>
      <w:r>
        <w:rPr>
          <w:b/>
        </w:rPr>
        <w:t xml:space="preserve"> </w:t>
      </w:r>
      <w:r>
        <w:rPr>
          <w:rFonts w:cs="Calibri"/>
          <w:color w:val="222222"/>
          <w:sz w:val="24"/>
          <w:szCs w:val="24"/>
          <w:shd w:val="clear" w:color="auto" w:fill="FFFFFF"/>
        </w:rPr>
        <w:t>Work closely with</w:t>
      </w:r>
      <w:r w:rsidRPr="009B1CBB">
        <w:rPr>
          <w:rFonts w:cs="Calibri"/>
          <w:color w:val="222222"/>
          <w:sz w:val="24"/>
          <w:szCs w:val="24"/>
          <w:shd w:val="clear" w:color="auto" w:fill="FFFFFF"/>
        </w:rPr>
        <w:t xml:space="preserve"> business partners along the value chain to manage business and operational risks and opportunities and create maximum joint valu</w:t>
      </w:r>
      <w:r w:rsidR="006A4A3F">
        <w:rPr>
          <w:rFonts w:cs="Calibri"/>
          <w:color w:val="222222"/>
          <w:sz w:val="24"/>
          <w:szCs w:val="24"/>
          <w:shd w:val="clear" w:color="auto" w:fill="FFFFFF"/>
        </w:rPr>
        <w:t xml:space="preserve">e, </w:t>
      </w:r>
      <w:r w:rsidRPr="009B1CBB">
        <w:rPr>
          <w:rFonts w:cs="Calibri"/>
          <w:color w:val="222222"/>
          <w:sz w:val="24"/>
          <w:szCs w:val="24"/>
          <w:shd w:val="clear" w:color="auto" w:fill="FFFFFF"/>
        </w:rPr>
        <w:t xml:space="preserve">Work with key suppliers to improve their sustainability performance and to meet standards </w:t>
      </w:r>
      <w:r>
        <w:rPr>
          <w:rFonts w:cs="Calibri"/>
          <w:color w:val="222222"/>
          <w:sz w:val="24"/>
          <w:szCs w:val="24"/>
          <w:shd w:val="clear" w:color="auto" w:fill="FFFFFF"/>
        </w:rPr>
        <w:t xml:space="preserve">set out in </w:t>
      </w:r>
      <w:r w:rsidR="006A4A3F">
        <w:rPr>
          <w:rFonts w:cs="Calibri"/>
          <w:color w:val="222222"/>
          <w:sz w:val="24"/>
          <w:szCs w:val="24"/>
          <w:shd w:val="clear" w:color="auto" w:fill="FFFFFF"/>
        </w:rPr>
        <w:t xml:space="preserve">Supplier Code of Conduct. </w:t>
      </w:r>
      <w:r w:rsidRPr="009B1CBB">
        <w:rPr>
          <w:rFonts w:cs="Calibri"/>
          <w:color w:val="222222"/>
          <w:sz w:val="24"/>
          <w:szCs w:val="24"/>
          <w:shd w:val="clear" w:color="auto" w:fill="FFFFFF"/>
        </w:rPr>
        <w:t>Partner with manufacturers in various countries to improve local capabilities, skills and employment.</w:t>
      </w:r>
    </w:p>
    <w:p w:rsidR="007C7A13" w:rsidRDefault="007C7A13" w:rsidP="00FE044E">
      <w:pPr>
        <w:pStyle w:val="NoSpacing"/>
        <w:spacing w:line="360" w:lineRule="auto"/>
        <w:jc w:val="both"/>
        <w:rPr>
          <w:rFonts w:cs="Calibri"/>
          <w:color w:val="222222"/>
          <w:sz w:val="24"/>
          <w:szCs w:val="24"/>
          <w:shd w:val="clear" w:color="auto" w:fill="FFFFFF"/>
        </w:rPr>
      </w:pPr>
    </w:p>
    <w:p w:rsidR="001B24CB" w:rsidRDefault="007C7A13" w:rsidP="00FE044E">
      <w:pPr>
        <w:pStyle w:val="NoSpacing"/>
        <w:numPr>
          <w:ilvl w:val="0"/>
          <w:numId w:val="32"/>
        </w:numPr>
        <w:spacing w:line="360" w:lineRule="auto"/>
        <w:jc w:val="both"/>
        <w:rPr>
          <w:rFonts w:cs="Calibri"/>
          <w:color w:val="222222"/>
          <w:sz w:val="24"/>
          <w:szCs w:val="24"/>
          <w:shd w:val="clear" w:color="auto" w:fill="FFFFFF"/>
        </w:rPr>
      </w:pPr>
      <w:r w:rsidRPr="007C7A13">
        <w:rPr>
          <w:b/>
        </w:rPr>
        <w:t>Scientific Communities, Biotech companies and Academia</w:t>
      </w:r>
      <w:r>
        <w:rPr>
          <w:b/>
        </w:rPr>
        <w:t xml:space="preserve">: </w:t>
      </w:r>
      <w:r w:rsidRPr="007C7A13">
        <w:rPr>
          <w:rFonts w:cs="Calibri"/>
          <w:color w:val="222222"/>
          <w:sz w:val="24"/>
          <w:szCs w:val="24"/>
          <w:shd w:val="clear" w:color="auto" w:fill="FFFFFF"/>
        </w:rPr>
        <w:t>Complement internal R&amp;D with ex</w:t>
      </w:r>
      <w:r>
        <w:rPr>
          <w:rFonts w:cs="Calibri"/>
          <w:color w:val="222222"/>
          <w:sz w:val="24"/>
          <w:szCs w:val="24"/>
          <w:shd w:val="clear" w:color="auto" w:fill="FFFFFF"/>
        </w:rPr>
        <w:t xml:space="preserve">ternal network of </w:t>
      </w:r>
      <w:r w:rsidRPr="007C7A13">
        <w:rPr>
          <w:rFonts w:cs="Calibri"/>
          <w:color w:val="222222"/>
          <w:sz w:val="24"/>
          <w:szCs w:val="24"/>
          <w:shd w:val="clear" w:color="auto" w:fill="FFFFFF"/>
        </w:rPr>
        <w:t>partners to increase diversity, flexibility and breadth of research</w:t>
      </w:r>
    </w:p>
    <w:p w:rsidR="00874786" w:rsidRDefault="00874786" w:rsidP="00FE044E">
      <w:pPr>
        <w:pStyle w:val="NoSpacing"/>
        <w:spacing w:line="360" w:lineRule="auto"/>
        <w:jc w:val="both"/>
        <w:rPr>
          <w:rFonts w:cs="Calibri"/>
          <w:color w:val="222222"/>
          <w:sz w:val="24"/>
          <w:szCs w:val="24"/>
          <w:shd w:val="clear" w:color="auto" w:fill="FFFFFF"/>
        </w:rPr>
      </w:pPr>
    </w:p>
    <w:p w:rsidR="00874786" w:rsidRDefault="00874786" w:rsidP="00FE044E">
      <w:pPr>
        <w:pStyle w:val="NoSpacing"/>
        <w:numPr>
          <w:ilvl w:val="0"/>
          <w:numId w:val="32"/>
        </w:numPr>
        <w:spacing w:line="360" w:lineRule="auto"/>
        <w:jc w:val="both"/>
        <w:rPr>
          <w:rFonts w:cs="Calibri"/>
          <w:color w:val="222222"/>
          <w:sz w:val="24"/>
          <w:szCs w:val="24"/>
          <w:shd w:val="clear" w:color="auto" w:fill="FFFFFF"/>
        </w:rPr>
      </w:pPr>
      <w:r w:rsidRPr="00874786">
        <w:rPr>
          <w:b/>
        </w:rPr>
        <w:t>Media</w:t>
      </w:r>
      <w:r>
        <w:rPr>
          <w:rFonts w:cs="Calibri"/>
          <w:b/>
          <w:color w:val="222222"/>
          <w:sz w:val="24"/>
          <w:szCs w:val="24"/>
          <w:shd w:val="clear" w:color="auto" w:fill="FFFFFF"/>
        </w:rPr>
        <w:t>:</w:t>
      </w:r>
      <w:r>
        <w:rPr>
          <w:rFonts w:cs="Calibri"/>
          <w:color w:val="222222"/>
          <w:sz w:val="24"/>
          <w:szCs w:val="24"/>
          <w:shd w:val="clear" w:color="auto" w:fill="FFFFFF"/>
        </w:rPr>
        <w:t xml:space="preserve"> F</w:t>
      </w:r>
      <w:r w:rsidRPr="00874786">
        <w:rPr>
          <w:rFonts w:cs="Calibri"/>
          <w:color w:val="222222"/>
          <w:sz w:val="24"/>
          <w:szCs w:val="24"/>
          <w:shd w:val="clear" w:color="auto" w:fill="FFFFFF"/>
        </w:rPr>
        <w:t>or informing the pu</w:t>
      </w:r>
      <w:r>
        <w:rPr>
          <w:rFonts w:cs="Calibri"/>
          <w:color w:val="222222"/>
          <w:sz w:val="24"/>
          <w:szCs w:val="24"/>
          <w:shd w:val="clear" w:color="auto" w:fill="FFFFFF"/>
        </w:rPr>
        <w:t xml:space="preserve">blic and other audiences of market leading </w:t>
      </w:r>
      <w:r w:rsidRPr="00874786">
        <w:rPr>
          <w:rFonts w:cs="Calibri"/>
          <w:color w:val="222222"/>
          <w:sz w:val="24"/>
          <w:szCs w:val="24"/>
          <w:shd w:val="clear" w:color="auto" w:fill="FFFFFF"/>
        </w:rPr>
        <w:t>company’s mission, policies, practices and products in a positive, co</w:t>
      </w:r>
      <w:r w:rsidR="006A4A3F">
        <w:rPr>
          <w:rFonts w:cs="Calibri"/>
          <w:color w:val="222222"/>
          <w:sz w:val="24"/>
          <w:szCs w:val="24"/>
          <w:shd w:val="clear" w:color="auto" w:fill="FFFFFF"/>
        </w:rPr>
        <w:t xml:space="preserve">nsistent and credible manner. </w:t>
      </w:r>
      <w:r w:rsidRPr="00874786">
        <w:rPr>
          <w:rFonts w:cs="Calibri"/>
          <w:color w:val="222222"/>
          <w:sz w:val="24"/>
          <w:szCs w:val="24"/>
          <w:shd w:val="clear" w:color="auto" w:fill="FFFFFF"/>
        </w:rPr>
        <w:t>Regular interactions with lay, business and t</w:t>
      </w:r>
      <w:r>
        <w:rPr>
          <w:rFonts w:cs="Calibri"/>
          <w:color w:val="222222"/>
          <w:sz w:val="24"/>
          <w:szCs w:val="24"/>
          <w:shd w:val="clear" w:color="auto" w:fill="FFFFFF"/>
        </w:rPr>
        <w:t xml:space="preserve">rade journalists to explain industry </w:t>
      </w:r>
      <w:r w:rsidRPr="00874786">
        <w:rPr>
          <w:rFonts w:cs="Calibri"/>
          <w:color w:val="222222"/>
          <w:sz w:val="24"/>
          <w:szCs w:val="24"/>
          <w:shd w:val="clear" w:color="auto" w:fill="FFFFFF"/>
        </w:rPr>
        <w:t>perspective on key topics, such as access to healthcare, pricing, biosimilars, clinical trial data sharing</w:t>
      </w:r>
      <w:r>
        <w:rPr>
          <w:rFonts w:cs="Calibri"/>
          <w:color w:val="222222"/>
          <w:sz w:val="24"/>
          <w:szCs w:val="24"/>
          <w:shd w:val="clear" w:color="auto" w:fill="FFFFFF"/>
        </w:rPr>
        <w:t>.</w:t>
      </w:r>
    </w:p>
    <w:p w:rsidR="00131215" w:rsidRDefault="00131215" w:rsidP="00FE044E">
      <w:pPr>
        <w:pStyle w:val="NoSpacing"/>
        <w:spacing w:line="360" w:lineRule="auto"/>
        <w:jc w:val="both"/>
        <w:rPr>
          <w:rFonts w:cs="Calibri"/>
          <w:color w:val="222222"/>
          <w:sz w:val="24"/>
          <w:szCs w:val="24"/>
          <w:shd w:val="clear" w:color="auto" w:fill="FFFFFF"/>
        </w:rPr>
      </w:pPr>
    </w:p>
    <w:p w:rsidR="00131215" w:rsidRDefault="00131215" w:rsidP="00FE044E">
      <w:pPr>
        <w:pStyle w:val="NoSpacing"/>
        <w:numPr>
          <w:ilvl w:val="0"/>
          <w:numId w:val="32"/>
        </w:numPr>
        <w:spacing w:line="360" w:lineRule="auto"/>
        <w:jc w:val="both"/>
        <w:rPr>
          <w:rFonts w:cs="Calibri"/>
          <w:color w:val="222222"/>
          <w:sz w:val="24"/>
          <w:szCs w:val="24"/>
          <w:shd w:val="clear" w:color="auto" w:fill="FFFFFF"/>
        </w:rPr>
      </w:pPr>
      <w:r w:rsidRPr="00131215">
        <w:rPr>
          <w:rFonts w:cs="Calibri"/>
          <w:b/>
          <w:color w:val="222222"/>
          <w:sz w:val="24"/>
          <w:szCs w:val="24"/>
          <w:shd w:val="clear" w:color="auto" w:fill="FFFFFF"/>
        </w:rPr>
        <w:t>Pharmacy Benefit Manager:</w:t>
      </w:r>
      <w:r w:rsidRPr="00131215">
        <w:rPr>
          <w:rFonts w:ascii="Helvetica" w:hAnsi="Helvetica"/>
          <w:color w:val="666666"/>
          <w:shd w:val="clear" w:color="auto" w:fill="FFFFFF"/>
        </w:rPr>
        <w:t xml:space="preserve"> </w:t>
      </w:r>
      <w:r w:rsidRPr="00131215">
        <w:rPr>
          <w:rFonts w:cs="Calibri"/>
          <w:color w:val="222222"/>
          <w:sz w:val="24"/>
          <w:szCs w:val="24"/>
          <w:shd w:val="clear" w:color="auto" w:fill="FFFFFF"/>
        </w:rPr>
        <w:t>PBMs are the connectors between employers, members, drug wholesalers, pharmacies, and drug companies working to facilitate the best possible health outcomes at the best possible costs.</w:t>
      </w:r>
      <w:r>
        <w:rPr>
          <w:rFonts w:cs="Calibri"/>
          <w:color w:val="222222"/>
          <w:sz w:val="24"/>
          <w:szCs w:val="24"/>
          <w:shd w:val="clear" w:color="auto" w:fill="FFFFFF"/>
        </w:rPr>
        <w:t xml:space="preserve"> They reduce the amount spend by negotiating with drug manufacturers, distributors, clinical programs etc. They also are responsible for increasing the access to medication. </w:t>
      </w:r>
    </w:p>
    <w:p w:rsidR="009D2A10" w:rsidRDefault="009D2A10" w:rsidP="00FE044E">
      <w:pPr>
        <w:pStyle w:val="NoSpacing"/>
        <w:spacing w:line="360" w:lineRule="auto"/>
        <w:jc w:val="both"/>
        <w:rPr>
          <w:rFonts w:cs="Calibri"/>
          <w:color w:val="222222"/>
          <w:sz w:val="24"/>
          <w:szCs w:val="24"/>
          <w:shd w:val="clear" w:color="auto" w:fill="FFFFFF"/>
        </w:rPr>
      </w:pPr>
    </w:p>
    <w:p w:rsidR="00874786" w:rsidRDefault="009D2A10" w:rsidP="00FE044E">
      <w:pPr>
        <w:pStyle w:val="NoSpacing"/>
        <w:numPr>
          <w:ilvl w:val="0"/>
          <w:numId w:val="32"/>
        </w:numPr>
        <w:spacing w:line="360" w:lineRule="auto"/>
        <w:jc w:val="both"/>
        <w:rPr>
          <w:rFonts w:cs="Calibri"/>
          <w:color w:val="222222"/>
          <w:sz w:val="24"/>
          <w:szCs w:val="24"/>
          <w:shd w:val="clear" w:color="auto" w:fill="FFFFFF"/>
        </w:rPr>
      </w:pPr>
      <w:r w:rsidRPr="009D2A10">
        <w:rPr>
          <w:rFonts w:cs="Calibri"/>
          <w:b/>
          <w:color w:val="222222"/>
          <w:sz w:val="24"/>
          <w:szCs w:val="24"/>
          <w:shd w:val="clear" w:color="auto" w:fill="FFFFFF"/>
        </w:rPr>
        <w:t>Distributors:</w:t>
      </w:r>
      <w:r>
        <w:rPr>
          <w:rFonts w:cs="Calibri"/>
          <w:b/>
          <w:color w:val="222222"/>
          <w:sz w:val="24"/>
          <w:szCs w:val="24"/>
          <w:shd w:val="clear" w:color="auto" w:fill="FFFFFF"/>
        </w:rPr>
        <w:t xml:space="preserve"> </w:t>
      </w:r>
      <w:r w:rsidRPr="009D2A10">
        <w:rPr>
          <w:rFonts w:cs="Calibri"/>
          <w:color w:val="222222"/>
          <w:sz w:val="24"/>
          <w:szCs w:val="24"/>
          <w:shd w:val="clear" w:color="auto" w:fill="FFFFFF"/>
        </w:rPr>
        <w:t>Primary pharmaceutical distributors purchase prescription medicines and other medical products directly from manufacturers for storage in warehouses and distribution centers across the country. Healthcare providers place orders with distributors for the medicines and products they need, and the distributors process and deliver the orders daily. Without primary distributors acting as a vital link between manufacturers and healthcare providers to help ensure patie</w:t>
      </w:r>
      <w:r w:rsidR="006A4A3F">
        <w:rPr>
          <w:rFonts w:cs="Calibri"/>
          <w:color w:val="222222"/>
          <w:sz w:val="24"/>
          <w:szCs w:val="24"/>
          <w:shd w:val="clear" w:color="auto" w:fill="FFFFFF"/>
        </w:rPr>
        <w:t>nts get the needed medicine.</w:t>
      </w:r>
    </w:p>
    <w:p w:rsidR="00BA008D" w:rsidRDefault="00BA008D" w:rsidP="00FE044E">
      <w:pPr>
        <w:pStyle w:val="NoSpacing"/>
        <w:spacing w:line="360" w:lineRule="auto"/>
        <w:jc w:val="both"/>
        <w:rPr>
          <w:rFonts w:cs="Calibri"/>
          <w:color w:val="222222"/>
          <w:sz w:val="24"/>
          <w:szCs w:val="24"/>
          <w:shd w:val="clear" w:color="auto" w:fill="FFFFFF"/>
        </w:rPr>
      </w:pPr>
    </w:p>
    <w:p w:rsidR="00633948" w:rsidRPr="000001DB" w:rsidRDefault="001A648C" w:rsidP="00FE044E">
      <w:pPr>
        <w:pStyle w:val="NoSpacing"/>
        <w:numPr>
          <w:ilvl w:val="0"/>
          <w:numId w:val="32"/>
        </w:numPr>
        <w:spacing w:line="360" w:lineRule="auto"/>
        <w:jc w:val="both"/>
        <w:rPr>
          <w:rFonts w:cs="Calibri"/>
          <w:b/>
          <w:color w:val="222222"/>
          <w:sz w:val="24"/>
          <w:szCs w:val="24"/>
          <w:shd w:val="clear" w:color="auto" w:fill="FFFFFF"/>
        </w:rPr>
      </w:pPr>
      <w:r>
        <w:rPr>
          <w:rFonts w:cs="Calibri"/>
          <w:b/>
          <w:color w:val="222222"/>
          <w:sz w:val="24"/>
          <w:szCs w:val="24"/>
          <w:shd w:val="clear" w:color="auto" w:fill="FFFFFF"/>
        </w:rPr>
        <w:t xml:space="preserve">Payers: </w:t>
      </w:r>
      <w:r w:rsidRPr="001A648C">
        <w:rPr>
          <w:rFonts w:cs="Calibri"/>
          <w:color w:val="222222"/>
          <w:sz w:val="24"/>
          <w:szCs w:val="24"/>
          <w:shd w:val="clear" w:color="auto" w:fill="FFFFFF"/>
        </w:rPr>
        <w:t>Payers in theory are responsible to ensure that limited financial resources are used appropriately to create quality of services, broad access to needed services, patient safety, and affordable healthcare coverage. To accomplish this goal, payers and other managers of healthcare populations must have accurate, reliable data. Payers also are charged to ensure that payment is fair, and commensurate with the severity and complexity of each service.</w:t>
      </w:r>
      <w:r>
        <w:rPr>
          <w:rFonts w:ascii="Helvetica" w:hAnsi="Helvetica"/>
          <w:color w:val="0C2436"/>
          <w:shd w:val="clear" w:color="auto" w:fill="FFFFFF"/>
        </w:rPr>
        <w:t> </w:t>
      </w:r>
    </w:p>
    <w:p w:rsidR="00633948" w:rsidRDefault="00633948" w:rsidP="007E4194">
      <w:pPr>
        <w:pStyle w:val="NoSpacing"/>
        <w:jc w:val="both"/>
        <w:rPr>
          <w:rFonts w:cs="Calibri"/>
          <w:b/>
          <w:color w:val="222222"/>
          <w:sz w:val="36"/>
          <w:szCs w:val="36"/>
          <w:shd w:val="clear" w:color="auto" w:fill="FFFFFF"/>
        </w:rPr>
      </w:pPr>
    </w:p>
    <w:p w:rsidR="009E54E3" w:rsidRDefault="002C032E" w:rsidP="007E4194">
      <w:pPr>
        <w:pStyle w:val="NoSpacing"/>
        <w:jc w:val="both"/>
        <w:rPr>
          <w:rFonts w:cs="Calibri"/>
          <w:b/>
          <w:color w:val="222222"/>
          <w:sz w:val="36"/>
          <w:szCs w:val="36"/>
          <w:shd w:val="clear" w:color="auto" w:fill="FFFFFF"/>
        </w:rPr>
      </w:pPr>
      <w:r w:rsidRPr="00C25459">
        <w:rPr>
          <w:rFonts w:cs="Calibri"/>
          <w:b/>
          <w:color w:val="222222"/>
          <w:sz w:val="36"/>
          <w:szCs w:val="36"/>
          <w:shd w:val="clear" w:color="auto" w:fill="FFFFFF"/>
        </w:rPr>
        <w:t>Major Players of the Pharmaceutical Industry</w:t>
      </w:r>
    </w:p>
    <w:p w:rsidR="00FE044E" w:rsidRPr="007E4194" w:rsidRDefault="00FE044E" w:rsidP="007E4194">
      <w:pPr>
        <w:pStyle w:val="NoSpacing"/>
        <w:jc w:val="both"/>
        <w:rPr>
          <w:rFonts w:cs="Calibri"/>
          <w:b/>
          <w:color w:val="222222"/>
          <w:sz w:val="36"/>
          <w:szCs w:val="36"/>
          <w:shd w:val="clear" w:color="auto" w:fill="FFFFFF"/>
        </w:rPr>
      </w:pPr>
    </w:p>
    <w:tbl>
      <w:tblPr>
        <w:tblStyle w:val="MuSigma"/>
        <w:tblW w:w="0" w:type="auto"/>
        <w:tblLook w:val="0420" w:firstRow="1" w:lastRow="0" w:firstColumn="0" w:lastColumn="0" w:noHBand="0" w:noVBand="1"/>
      </w:tblPr>
      <w:tblGrid>
        <w:gridCol w:w="3001"/>
        <w:gridCol w:w="3004"/>
        <w:gridCol w:w="3002"/>
      </w:tblGrid>
      <w:tr w:rsidR="0079113F" w:rsidTr="0079113F">
        <w:trPr>
          <w:cnfStyle w:val="100000000000" w:firstRow="1" w:lastRow="0" w:firstColumn="0" w:lastColumn="0" w:oddVBand="0" w:evenVBand="0" w:oddHBand="0" w:evenHBand="0" w:firstRowFirstColumn="0" w:firstRowLastColumn="0" w:lastRowFirstColumn="0" w:lastRowLastColumn="0"/>
        </w:trPr>
        <w:tc>
          <w:tcPr>
            <w:tcW w:w="3005" w:type="dxa"/>
          </w:tcPr>
          <w:p w:rsidR="0079113F" w:rsidRPr="0079113F" w:rsidRDefault="0079113F" w:rsidP="0079113F">
            <w:pPr>
              <w:pStyle w:val="ListParagraph"/>
              <w:spacing w:after="160" w:line="259" w:lineRule="auto"/>
              <w:ind w:left="0"/>
              <w:jc w:val="both"/>
              <w:rPr>
                <w:rFonts w:eastAsiaTheme="minorEastAsia" w:cstheme="minorBidi"/>
                <w:sz w:val="28"/>
                <w:szCs w:val="28"/>
                <w:lang w:eastAsia="ja-JP"/>
              </w:rPr>
            </w:pPr>
            <w:r>
              <w:rPr>
                <w:rFonts w:eastAsiaTheme="minorEastAsia" w:cstheme="minorBidi"/>
                <w:sz w:val="28"/>
                <w:szCs w:val="28"/>
                <w:lang w:eastAsia="ja-JP"/>
              </w:rPr>
              <w:t>Companies</w:t>
            </w:r>
          </w:p>
        </w:tc>
        <w:tc>
          <w:tcPr>
            <w:tcW w:w="3006" w:type="dxa"/>
          </w:tcPr>
          <w:p w:rsidR="0079113F" w:rsidRPr="0079113F" w:rsidRDefault="0079113F" w:rsidP="0079113F">
            <w:pPr>
              <w:pStyle w:val="ListParagraph"/>
              <w:spacing w:after="160" w:line="259" w:lineRule="auto"/>
              <w:ind w:left="0"/>
              <w:jc w:val="both"/>
              <w:rPr>
                <w:rFonts w:eastAsiaTheme="minorEastAsia" w:cstheme="minorBidi"/>
                <w:sz w:val="28"/>
                <w:szCs w:val="28"/>
                <w:lang w:eastAsia="ja-JP"/>
              </w:rPr>
            </w:pPr>
            <w:r w:rsidRPr="0079113F">
              <w:rPr>
                <w:rFonts w:eastAsiaTheme="minorEastAsia" w:cstheme="minorBidi"/>
                <w:sz w:val="28"/>
                <w:szCs w:val="28"/>
                <w:lang w:eastAsia="ja-JP"/>
              </w:rPr>
              <w:t>Divisions</w:t>
            </w:r>
          </w:p>
        </w:tc>
        <w:tc>
          <w:tcPr>
            <w:tcW w:w="3006" w:type="dxa"/>
          </w:tcPr>
          <w:p w:rsidR="0079113F" w:rsidRDefault="007E4194" w:rsidP="0079113F">
            <w:pPr>
              <w:pStyle w:val="ListParagraph"/>
              <w:spacing w:after="160" w:line="259" w:lineRule="auto"/>
              <w:ind w:left="0"/>
              <w:jc w:val="both"/>
              <w:rPr>
                <w:rFonts w:eastAsiaTheme="minorEastAsia" w:cstheme="minorBidi"/>
                <w:sz w:val="24"/>
                <w:szCs w:val="24"/>
                <w:lang w:eastAsia="ja-JP"/>
              </w:rPr>
            </w:pPr>
            <w:r>
              <w:rPr>
                <w:rFonts w:eastAsiaTheme="minorEastAsia" w:cstheme="minorBidi"/>
                <w:sz w:val="24"/>
                <w:szCs w:val="24"/>
                <w:lang w:eastAsia="ja-JP"/>
              </w:rPr>
              <w:t>Revenue (2017</w:t>
            </w:r>
            <w:r w:rsidR="0079113F">
              <w:rPr>
                <w:rFonts w:eastAsiaTheme="minorEastAsia" w:cstheme="minorBidi"/>
                <w:sz w:val="24"/>
                <w:szCs w:val="24"/>
                <w:lang w:eastAsia="ja-JP"/>
              </w:rPr>
              <w:t>)</w:t>
            </w:r>
          </w:p>
        </w:tc>
      </w:tr>
      <w:tr w:rsidR="0079113F" w:rsidTr="0079113F">
        <w:trPr>
          <w:cnfStyle w:val="000000100000" w:firstRow="0" w:lastRow="0" w:firstColumn="0" w:lastColumn="0" w:oddVBand="0" w:evenVBand="0" w:oddHBand="1" w:evenHBand="0" w:firstRowFirstColumn="0" w:firstRowLastColumn="0" w:lastRowFirstColumn="0" w:lastRowLastColumn="0"/>
        </w:trPr>
        <w:tc>
          <w:tcPr>
            <w:tcW w:w="3005" w:type="dxa"/>
          </w:tcPr>
          <w:p w:rsidR="0079113F" w:rsidRPr="009F63BA" w:rsidRDefault="0079113F" w:rsidP="0079113F">
            <w:pPr>
              <w:pStyle w:val="ListParagraph"/>
              <w:spacing w:after="160" w:line="259" w:lineRule="auto"/>
              <w:ind w:left="0"/>
              <w:jc w:val="both"/>
              <w:rPr>
                <w:rFonts w:eastAsiaTheme="minorEastAsia" w:cstheme="minorBidi"/>
                <w:sz w:val="26"/>
                <w:szCs w:val="26"/>
                <w:lang w:eastAsia="ja-JP"/>
              </w:rPr>
            </w:pPr>
            <w:r w:rsidRPr="009F63BA">
              <w:rPr>
                <w:rFonts w:eastAsiaTheme="minorEastAsia" w:cstheme="minorBidi"/>
                <w:sz w:val="26"/>
                <w:szCs w:val="26"/>
                <w:lang w:eastAsia="ja-JP"/>
              </w:rPr>
              <w:t>Johnson &amp; Johnson</w:t>
            </w:r>
          </w:p>
        </w:tc>
        <w:tc>
          <w:tcPr>
            <w:tcW w:w="3006" w:type="dxa"/>
          </w:tcPr>
          <w:p w:rsidR="0079113F" w:rsidRPr="009F63BA" w:rsidRDefault="0079113F" w:rsidP="009F63BA">
            <w:pPr>
              <w:pStyle w:val="ListParagraph"/>
              <w:spacing w:after="160" w:line="259" w:lineRule="auto"/>
              <w:ind w:left="0"/>
              <w:rPr>
                <w:rFonts w:eastAsiaTheme="minorEastAsia" w:cstheme="minorBidi"/>
                <w:sz w:val="26"/>
                <w:szCs w:val="26"/>
                <w:lang w:eastAsia="ja-JP"/>
              </w:rPr>
            </w:pPr>
            <w:r w:rsidRPr="009F63BA">
              <w:rPr>
                <w:rFonts w:eastAsiaTheme="minorEastAsia" w:cstheme="minorBidi"/>
                <w:sz w:val="26"/>
                <w:szCs w:val="26"/>
                <w:lang w:eastAsia="ja-JP"/>
              </w:rPr>
              <w:t xml:space="preserve">Medical Devices, </w:t>
            </w:r>
          </w:p>
          <w:p w:rsidR="0079113F" w:rsidRPr="009F63BA" w:rsidRDefault="0079113F" w:rsidP="009F63BA">
            <w:pPr>
              <w:pStyle w:val="ListParagraph"/>
              <w:spacing w:after="160" w:line="259" w:lineRule="auto"/>
              <w:ind w:left="0"/>
              <w:rPr>
                <w:rFonts w:eastAsiaTheme="minorEastAsia" w:cstheme="minorBidi"/>
                <w:sz w:val="26"/>
                <w:szCs w:val="26"/>
                <w:lang w:eastAsia="ja-JP"/>
              </w:rPr>
            </w:pPr>
            <w:r w:rsidRPr="009F63BA">
              <w:rPr>
                <w:rFonts w:eastAsiaTheme="minorEastAsia" w:cstheme="minorBidi"/>
                <w:sz w:val="26"/>
                <w:szCs w:val="26"/>
                <w:lang w:eastAsia="ja-JP"/>
              </w:rPr>
              <w:t xml:space="preserve">Consumer Health Care products and </w:t>
            </w:r>
          </w:p>
          <w:p w:rsidR="0079113F" w:rsidRPr="009F63BA" w:rsidRDefault="0079113F" w:rsidP="009F63BA">
            <w:pPr>
              <w:pStyle w:val="ListParagraph"/>
              <w:spacing w:after="160" w:line="259" w:lineRule="auto"/>
              <w:ind w:left="0"/>
              <w:rPr>
                <w:rFonts w:eastAsiaTheme="minorEastAsia" w:cstheme="minorBidi"/>
                <w:sz w:val="26"/>
                <w:szCs w:val="26"/>
                <w:lang w:eastAsia="ja-JP"/>
              </w:rPr>
            </w:pPr>
            <w:r w:rsidRPr="009F63BA">
              <w:rPr>
                <w:rFonts w:eastAsiaTheme="minorEastAsia" w:cstheme="minorBidi"/>
                <w:sz w:val="26"/>
                <w:szCs w:val="26"/>
                <w:lang w:eastAsia="ja-JP"/>
              </w:rPr>
              <w:t xml:space="preserve">Pharmaceuticals </w:t>
            </w:r>
          </w:p>
        </w:tc>
        <w:tc>
          <w:tcPr>
            <w:tcW w:w="3006" w:type="dxa"/>
          </w:tcPr>
          <w:p w:rsidR="0079113F" w:rsidRPr="009F63BA" w:rsidRDefault="007E4194" w:rsidP="0079113F">
            <w:pPr>
              <w:pStyle w:val="ListParagraph"/>
              <w:spacing w:after="160" w:line="259" w:lineRule="auto"/>
              <w:ind w:left="0"/>
              <w:jc w:val="both"/>
              <w:rPr>
                <w:rFonts w:eastAsiaTheme="minorEastAsia" w:cstheme="minorBidi"/>
                <w:sz w:val="26"/>
                <w:szCs w:val="26"/>
                <w:lang w:eastAsia="ja-JP"/>
              </w:rPr>
            </w:pPr>
            <w:r>
              <w:rPr>
                <w:rFonts w:eastAsiaTheme="minorEastAsia" w:cstheme="minorBidi"/>
                <w:sz w:val="26"/>
                <w:szCs w:val="26"/>
                <w:lang w:eastAsia="ja-JP"/>
              </w:rPr>
              <w:t>$</w:t>
            </w:r>
            <w:r w:rsidR="0079113F" w:rsidRPr="009F63BA">
              <w:rPr>
                <w:rFonts w:eastAsiaTheme="minorEastAsia" w:cstheme="minorBidi"/>
                <w:sz w:val="26"/>
                <w:szCs w:val="26"/>
                <w:lang w:eastAsia="ja-JP"/>
              </w:rPr>
              <w:t>76.5</w:t>
            </w:r>
            <w:r>
              <w:rPr>
                <w:rFonts w:eastAsiaTheme="minorEastAsia" w:cstheme="minorBidi"/>
                <w:sz w:val="26"/>
                <w:szCs w:val="26"/>
                <w:lang w:eastAsia="ja-JP"/>
              </w:rPr>
              <w:t xml:space="preserve"> B</w:t>
            </w:r>
          </w:p>
        </w:tc>
      </w:tr>
      <w:tr w:rsidR="0079113F" w:rsidTr="0079113F">
        <w:trPr>
          <w:cnfStyle w:val="000000010000" w:firstRow="0" w:lastRow="0" w:firstColumn="0" w:lastColumn="0" w:oddVBand="0" w:evenVBand="0" w:oddHBand="0" w:evenHBand="1" w:firstRowFirstColumn="0" w:firstRowLastColumn="0" w:lastRowFirstColumn="0" w:lastRowLastColumn="0"/>
        </w:trPr>
        <w:tc>
          <w:tcPr>
            <w:tcW w:w="3005" w:type="dxa"/>
          </w:tcPr>
          <w:p w:rsidR="0079113F" w:rsidRPr="009F63BA" w:rsidRDefault="0079113F" w:rsidP="0079113F">
            <w:pPr>
              <w:pStyle w:val="ListParagraph"/>
              <w:spacing w:after="160" w:line="259" w:lineRule="auto"/>
              <w:ind w:left="0"/>
              <w:jc w:val="both"/>
              <w:rPr>
                <w:rFonts w:eastAsiaTheme="minorEastAsia" w:cstheme="minorBidi"/>
                <w:sz w:val="26"/>
                <w:szCs w:val="26"/>
                <w:lang w:eastAsia="ja-JP"/>
              </w:rPr>
            </w:pPr>
            <w:r w:rsidRPr="009F63BA">
              <w:rPr>
                <w:rFonts w:eastAsiaTheme="minorEastAsia" w:cstheme="minorBidi"/>
                <w:sz w:val="26"/>
                <w:szCs w:val="26"/>
                <w:lang w:eastAsia="ja-JP"/>
              </w:rPr>
              <w:t>Pfizer</w:t>
            </w:r>
          </w:p>
        </w:tc>
        <w:tc>
          <w:tcPr>
            <w:tcW w:w="3006" w:type="dxa"/>
          </w:tcPr>
          <w:p w:rsidR="0079113F" w:rsidRPr="009F63BA" w:rsidRDefault="009F63BA" w:rsidP="009F63BA">
            <w:pPr>
              <w:pStyle w:val="ListParagraph"/>
              <w:spacing w:after="160" w:line="259" w:lineRule="auto"/>
              <w:ind w:left="0"/>
              <w:rPr>
                <w:rFonts w:eastAsiaTheme="minorEastAsia" w:cstheme="minorBidi"/>
                <w:sz w:val="26"/>
                <w:szCs w:val="26"/>
                <w:lang w:eastAsia="ja-JP"/>
              </w:rPr>
            </w:pPr>
            <w:r>
              <w:rPr>
                <w:rFonts w:eastAsiaTheme="minorEastAsia" w:cstheme="minorBidi"/>
                <w:sz w:val="26"/>
                <w:szCs w:val="26"/>
                <w:lang w:eastAsia="ja-JP"/>
              </w:rPr>
              <w:t xml:space="preserve">Innovative Medicines, Consumer </w:t>
            </w:r>
            <w:r w:rsidR="0079113F" w:rsidRPr="009F63BA">
              <w:rPr>
                <w:rFonts w:eastAsiaTheme="minorEastAsia" w:cstheme="minorBidi"/>
                <w:sz w:val="26"/>
                <w:szCs w:val="26"/>
                <w:lang w:eastAsia="ja-JP"/>
              </w:rPr>
              <w:t xml:space="preserve">Health </w:t>
            </w:r>
            <w:r w:rsidR="0079113F" w:rsidRPr="009F63BA">
              <w:rPr>
                <w:rFonts w:eastAsiaTheme="minorEastAsia" w:cstheme="minorBidi"/>
                <w:sz w:val="26"/>
                <w:szCs w:val="26"/>
                <w:lang w:eastAsia="ja-JP"/>
              </w:rPr>
              <w:lastRenderedPageBreak/>
              <w:t>Products and Established Medicine Division.</w:t>
            </w:r>
          </w:p>
        </w:tc>
        <w:tc>
          <w:tcPr>
            <w:tcW w:w="3006" w:type="dxa"/>
          </w:tcPr>
          <w:p w:rsidR="0079113F" w:rsidRPr="009F63BA" w:rsidRDefault="007E4194" w:rsidP="0079113F">
            <w:pPr>
              <w:pStyle w:val="ListParagraph"/>
              <w:spacing w:after="160" w:line="259" w:lineRule="auto"/>
              <w:ind w:left="0"/>
              <w:jc w:val="both"/>
              <w:rPr>
                <w:rFonts w:eastAsiaTheme="minorEastAsia" w:cstheme="minorBidi"/>
                <w:sz w:val="26"/>
                <w:szCs w:val="26"/>
                <w:lang w:eastAsia="ja-JP"/>
              </w:rPr>
            </w:pPr>
            <w:r>
              <w:rPr>
                <w:rFonts w:eastAsiaTheme="minorEastAsia" w:cstheme="minorBidi"/>
                <w:sz w:val="26"/>
                <w:szCs w:val="26"/>
                <w:lang w:eastAsia="ja-JP"/>
              </w:rPr>
              <w:lastRenderedPageBreak/>
              <w:t xml:space="preserve">$ </w:t>
            </w:r>
            <w:r w:rsidR="0079113F" w:rsidRPr="009F63BA">
              <w:rPr>
                <w:rFonts w:eastAsiaTheme="minorEastAsia" w:cstheme="minorBidi"/>
                <w:sz w:val="26"/>
                <w:szCs w:val="26"/>
                <w:lang w:eastAsia="ja-JP"/>
              </w:rPr>
              <w:t>51.7</w:t>
            </w:r>
            <w:r>
              <w:rPr>
                <w:rFonts w:eastAsiaTheme="minorEastAsia" w:cstheme="minorBidi"/>
                <w:sz w:val="26"/>
                <w:szCs w:val="26"/>
                <w:lang w:eastAsia="ja-JP"/>
              </w:rPr>
              <w:t xml:space="preserve"> B</w:t>
            </w:r>
          </w:p>
        </w:tc>
      </w:tr>
      <w:tr w:rsidR="0079113F" w:rsidTr="0079113F">
        <w:trPr>
          <w:cnfStyle w:val="000000100000" w:firstRow="0" w:lastRow="0" w:firstColumn="0" w:lastColumn="0" w:oddVBand="0" w:evenVBand="0" w:oddHBand="1" w:evenHBand="0" w:firstRowFirstColumn="0" w:firstRowLastColumn="0" w:lastRowFirstColumn="0" w:lastRowLastColumn="0"/>
        </w:trPr>
        <w:tc>
          <w:tcPr>
            <w:tcW w:w="3005" w:type="dxa"/>
          </w:tcPr>
          <w:p w:rsidR="0079113F" w:rsidRPr="009F63BA" w:rsidRDefault="0079113F" w:rsidP="0079113F">
            <w:pPr>
              <w:pStyle w:val="ListParagraph"/>
              <w:spacing w:after="160" w:line="259" w:lineRule="auto"/>
              <w:ind w:left="0"/>
              <w:jc w:val="both"/>
              <w:rPr>
                <w:rFonts w:eastAsiaTheme="minorEastAsia" w:cstheme="minorBidi"/>
                <w:sz w:val="26"/>
                <w:szCs w:val="26"/>
                <w:lang w:eastAsia="ja-JP"/>
              </w:rPr>
            </w:pPr>
            <w:r w:rsidRPr="009F63BA">
              <w:rPr>
                <w:rFonts w:eastAsiaTheme="minorEastAsia" w:cstheme="minorBidi"/>
                <w:sz w:val="26"/>
                <w:szCs w:val="26"/>
                <w:lang w:eastAsia="ja-JP"/>
              </w:rPr>
              <w:t>Novartis</w:t>
            </w:r>
          </w:p>
        </w:tc>
        <w:tc>
          <w:tcPr>
            <w:tcW w:w="3006" w:type="dxa"/>
          </w:tcPr>
          <w:p w:rsidR="0079113F" w:rsidRPr="009F63BA" w:rsidRDefault="003052AF" w:rsidP="009F63BA">
            <w:pPr>
              <w:pStyle w:val="ListParagraph"/>
              <w:spacing w:after="160" w:line="259" w:lineRule="auto"/>
              <w:ind w:left="0"/>
              <w:rPr>
                <w:rFonts w:eastAsiaTheme="minorEastAsia" w:cstheme="minorBidi"/>
                <w:sz w:val="26"/>
                <w:szCs w:val="26"/>
                <w:lang w:eastAsia="ja-JP"/>
              </w:rPr>
            </w:pPr>
            <w:r w:rsidRPr="009F63BA">
              <w:rPr>
                <w:rFonts w:eastAsiaTheme="minorEastAsia" w:cstheme="minorBidi"/>
                <w:sz w:val="26"/>
                <w:szCs w:val="26"/>
                <w:lang w:eastAsia="ja-JP"/>
              </w:rPr>
              <w:t>pharmaceuticals, eye care and generic medicines</w:t>
            </w:r>
          </w:p>
        </w:tc>
        <w:tc>
          <w:tcPr>
            <w:tcW w:w="3006" w:type="dxa"/>
          </w:tcPr>
          <w:p w:rsidR="0079113F" w:rsidRPr="009F63BA" w:rsidRDefault="007E4194" w:rsidP="0079113F">
            <w:pPr>
              <w:pStyle w:val="ListParagraph"/>
              <w:spacing w:after="160" w:line="259" w:lineRule="auto"/>
              <w:ind w:left="0"/>
              <w:jc w:val="both"/>
              <w:rPr>
                <w:rFonts w:eastAsiaTheme="minorEastAsia" w:cstheme="minorBidi"/>
                <w:sz w:val="26"/>
                <w:szCs w:val="26"/>
                <w:lang w:eastAsia="ja-JP"/>
              </w:rPr>
            </w:pPr>
            <w:r>
              <w:rPr>
                <w:rFonts w:eastAsiaTheme="minorEastAsia" w:cstheme="minorBidi"/>
                <w:sz w:val="26"/>
                <w:szCs w:val="26"/>
                <w:lang w:eastAsia="ja-JP"/>
              </w:rPr>
              <w:t xml:space="preserve">$ </w:t>
            </w:r>
            <w:r w:rsidR="003052AF" w:rsidRPr="009F63BA">
              <w:rPr>
                <w:rFonts w:eastAsiaTheme="minorEastAsia" w:cstheme="minorBidi"/>
                <w:sz w:val="26"/>
                <w:szCs w:val="26"/>
                <w:lang w:eastAsia="ja-JP"/>
              </w:rPr>
              <w:t>48.9</w:t>
            </w:r>
            <w:r>
              <w:rPr>
                <w:rFonts w:eastAsiaTheme="minorEastAsia" w:cstheme="minorBidi"/>
                <w:sz w:val="26"/>
                <w:szCs w:val="26"/>
                <w:lang w:eastAsia="ja-JP"/>
              </w:rPr>
              <w:t xml:space="preserve"> B</w:t>
            </w:r>
          </w:p>
        </w:tc>
      </w:tr>
      <w:tr w:rsidR="0079113F" w:rsidTr="0079113F">
        <w:trPr>
          <w:cnfStyle w:val="000000010000" w:firstRow="0" w:lastRow="0" w:firstColumn="0" w:lastColumn="0" w:oddVBand="0" w:evenVBand="0" w:oddHBand="0" w:evenHBand="1" w:firstRowFirstColumn="0" w:firstRowLastColumn="0" w:lastRowFirstColumn="0" w:lastRowLastColumn="0"/>
        </w:trPr>
        <w:tc>
          <w:tcPr>
            <w:tcW w:w="3005" w:type="dxa"/>
          </w:tcPr>
          <w:p w:rsidR="0079113F" w:rsidRPr="009F63BA" w:rsidRDefault="003052AF" w:rsidP="0079113F">
            <w:pPr>
              <w:pStyle w:val="ListParagraph"/>
              <w:spacing w:after="160" w:line="259" w:lineRule="auto"/>
              <w:ind w:left="0"/>
              <w:jc w:val="both"/>
              <w:rPr>
                <w:rFonts w:eastAsiaTheme="minorEastAsia" w:cstheme="minorBidi"/>
                <w:sz w:val="26"/>
                <w:szCs w:val="26"/>
                <w:lang w:eastAsia="ja-JP"/>
              </w:rPr>
            </w:pPr>
            <w:r w:rsidRPr="009F63BA">
              <w:rPr>
                <w:rFonts w:eastAsiaTheme="minorEastAsia" w:cstheme="minorBidi"/>
                <w:sz w:val="26"/>
                <w:szCs w:val="26"/>
                <w:lang w:eastAsia="ja-JP"/>
              </w:rPr>
              <w:t>Merck</w:t>
            </w:r>
          </w:p>
        </w:tc>
        <w:tc>
          <w:tcPr>
            <w:tcW w:w="3006" w:type="dxa"/>
          </w:tcPr>
          <w:p w:rsidR="0079113F" w:rsidRPr="009F63BA" w:rsidRDefault="003052AF" w:rsidP="009F63BA">
            <w:pPr>
              <w:pStyle w:val="ListParagraph"/>
              <w:spacing w:after="160" w:line="259" w:lineRule="auto"/>
              <w:ind w:left="0"/>
              <w:rPr>
                <w:rFonts w:eastAsiaTheme="minorEastAsia" w:cstheme="minorBidi"/>
                <w:sz w:val="26"/>
                <w:szCs w:val="26"/>
                <w:lang w:eastAsia="ja-JP"/>
              </w:rPr>
            </w:pPr>
            <w:r w:rsidRPr="009F63BA">
              <w:rPr>
                <w:rFonts w:eastAsiaTheme="minorEastAsia" w:cstheme="minorBidi"/>
                <w:sz w:val="26"/>
                <w:szCs w:val="26"/>
                <w:lang w:eastAsia="ja-JP"/>
              </w:rPr>
              <w:t>Performance Chemicals and Pharmaceuticals</w:t>
            </w:r>
          </w:p>
        </w:tc>
        <w:tc>
          <w:tcPr>
            <w:tcW w:w="3006" w:type="dxa"/>
          </w:tcPr>
          <w:p w:rsidR="0079113F" w:rsidRPr="009F63BA" w:rsidRDefault="007E4194" w:rsidP="0079113F">
            <w:pPr>
              <w:pStyle w:val="ListParagraph"/>
              <w:spacing w:after="160" w:line="259" w:lineRule="auto"/>
              <w:ind w:left="0"/>
              <w:jc w:val="both"/>
              <w:rPr>
                <w:rFonts w:eastAsiaTheme="minorEastAsia" w:cstheme="minorBidi"/>
                <w:sz w:val="26"/>
                <w:szCs w:val="26"/>
                <w:lang w:eastAsia="ja-JP"/>
              </w:rPr>
            </w:pPr>
            <w:r>
              <w:rPr>
                <w:rFonts w:eastAsiaTheme="minorEastAsia" w:cstheme="minorBidi"/>
                <w:sz w:val="26"/>
                <w:szCs w:val="26"/>
                <w:lang w:eastAsia="ja-JP"/>
              </w:rPr>
              <w:t xml:space="preserve">$ </w:t>
            </w:r>
            <w:r w:rsidR="003052AF" w:rsidRPr="009F63BA">
              <w:rPr>
                <w:rFonts w:eastAsiaTheme="minorEastAsia" w:cstheme="minorBidi"/>
                <w:sz w:val="26"/>
                <w:szCs w:val="26"/>
                <w:lang w:eastAsia="ja-JP"/>
              </w:rPr>
              <w:t>40.7</w:t>
            </w:r>
            <w:r>
              <w:rPr>
                <w:rFonts w:eastAsiaTheme="minorEastAsia" w:cstheme="minorBidi"/>
                <w:sz w:val="26"/>
                <w:szCs w:val="26"/>
                <w:lang w:eastAsia="ja-JP"/>
              </w:rPr>
              <w:t xml:space="preserve"> B</w:t>
            </w:r>
          </w:p>
        </w:tc>
      </w:tr>
      <w:tr w:rsidR="009F63BA" w:rsidTr="0079113F">
        <w:trPr>
          <w:cnfStyle w:val="000000100000" w:firstRow="0" w:lastRow="0" w:firstColumn="0" w:lastColumn="0" w:oddVBand="0" w:evenVBand="0" w:oddHBand="1" w:evenHBand="0" w:firstRowFirstColumn="0" w:firstRowLastColumn="0" w:lastRowFirstColumn="0" w:lastRowLastColumn="0"/>
        </w:trPr>
        <w:tc>
          <w:tcPr>
            <w:tcW w:w="3005" w:type="dxa"/>
          </w:tcPr>
          <w:p w:rsidR="009F63BA" w:rsidRPr="00793659" w:rsidRDefault="009F63BA" w:rsidP="0079113F">
            <w:pPr>
              <w:pStyle w:val="ListParagraph"/>
              <w:spacing w:after="160" w:line="259" w:lineRule="auto"/>
              <w:ind w:left="0"/>
              <w:jc w:val="both"/>
              <w:rPr>
                <w:rFonts w:eastAsiaTheme="minorEastAsia" w:cstheme="minorBidi"/>
                <w:sz w:val="26"/>
                <w:szCs w:val="26"/>
                <w:lang w:eastAsia="ja-JP"/>
              </w:rPr>
            </w:pPr>
            <w:r w:rsidRPr="00793659">
              <w:rPr>
                <w:rFonts w:eastAsiaTheme="minorEastAsia" w:cstheme="minorBidi"/>
                <w:sz w:val="26"/>
                <w:szCs w:val="26"/>
                <w:lang w:eastAsia="ja-JP"/>
              </w:rPr>
              <w:t>Glaxo Smith Kline</w:t>
            </w:r>
          </w:p>
        </w:tc>
        <w:tc>
          <w:tcPr>
            <w:tcW w:w="3006" w:type="dxa"/>
          </w:tcPr>
          <w:p w:rsidR="009F63BA" w:rsidRPr="00793659" w:rsidRDefault="009F63BA" w:rsidP="009F63BA">
            <w:pPr>
              <w:pStyle w:val="ListParagraph"/>
              <w:spacing w:after="160" w:line="259" w:lineRule="auto"/>
              <w:ind w:left="0"/>
              <w:rPr>
                <w:rFonts w:eastAsiaTheme="minorEastAsia" w:cstheme="minorBidi"/>
                <w:sz w:val="26"/>
                <w:szCs w:val="26"/>
                <w:lang w:eastAsia="ja-JP"/>
              </w:rPr>
            </w:pPr>
            <w:r w:rsidRPr="00793659">
              <w:rPr>
                <w:rFonts w:eastAsiaTheme="minorEastAsia" w:cstheme="minorBidi"/>
                <w:sz w:val="26"/>
                <w:szCs w:val="26"/>
                <w:lang w:eastAsia="ja-JP"/>
              </w:rPr>
              <w:t>I</w:t>
            </w:r>
            <w:r w:rsidRPr="00793659">
              <w:rPr>
                <w:rFonts w:eastAsiaTheme="minorEastAsia" w:cstheme="minorBidi"/>
                <w:sz w:val="26"/>
                <w:szCs w:val="26"/>
                <w:lang w:eastAsia="ja-JP"/>
              </w:rPr>
              <w:t>nnovative pharmaceutical medicines, vaccines and consumer healthcare products.</w:t>
            </w:r>
          </w:p>
        </w:tc>
        <w:tc>
          <w:tcPr>
            <w:tcW w:w="3006" w:type="dxa"/>
          </w:tcPr>
          <w:p w:rsidR="009F63BA" w:rsidRPr="00793659" w:rsidRDefault="007E4194" w:rsidP="0079113F">
            <w:pPr>
              <w:pStyle w:val="ListParagraph"/>
              <w:spacing w:after="160" w:line="259" w:lineRule="auto"/>
              <w:ind w:left="0"/>
              <w:jc w:val="both"/>
              <w:rPr>
                <w:rFonts w:eastAsiaTheme="minorEastAsia" w:cstheme="minorBidi"/>
                <w:sz w:val="26"/>
                <w:szCs w:val="26"/>
                <w:lang w:eastAsia="ja-JP"/>
              </w:rPr>
            </w:pPr>
            <w:r w:rsidRPr="00793659">
              <w:rPr>
                <w:rFonts w:eastAsiaTheme="minorEastAsia" w:cstheme="minorBidi"/>
                <w:sz w:val="26"/>
                <w:szCs w:val="26"/>
                <w:lang w:eastAsia="ja-JP"/>
              </w:rPr>
              <w:t xml:space="preserve">$ </w:t>
            </w:r>
            <w:r w:rsidR="009F63BA" w:rsidRPr="00793659">
              <w:rPr>
                <w:rFonts w:eastAsiaTheme="minorEastAsia" w:cstheme="minorBidi"/>
                <w:sz w:val="26"/>
                <w:szCs w:val="26"/>
                <w:lang w:eastAsia="ja-JP"/>
              </w:rPr>
              <w:t>37.6</w:t>
            </w:r>
            <w:r w:rsidRPr="00793659">
              <w:rPr>
                <w:rFonts w:eastAsiaTheme="minorEastAsia" w:cstheme="minorBidi"/>
                <w:sz w:val="26"/>
                <w:szCs w:val="26"/>
                <w:lang w:eastAsia="ja-JP"/>
              </w:rPr>
              <w:t xml:space="preserve"> B</w:t>
            </w:r>
          </w:p>
        </w:tc>
      </w:tr>
    </w:tbl>
    <w:p w:rsidR="002C032E" w:rsidRDefault="002C032E" w:rsidP="00C012A4">
      <w:pPr>
        <w:pStyle w:val="NoSpacing"/>
        <w:jc w:val="both"/>
        <w:rPr>
          <w:b/>
          <w:sz w:val="36"/>
          <w:szCs w:val="36"/>
        </w:rPr>
      </w:pPr>
    </w:p>
    <w:p w:rsidR="005F43E0" w:rsidRDefault="005F43E0" w:rsidP="002E093D">
      <w:pPr>
        <w:spacing w:after="160" w:line="259" w:lineRule="auto"/>
        <w:rPr>
          <w:rFonts w:cs="Calibri"/>
          <w:b/>
          <w:color w:val="222222"/>
          <w:sz w:val="36"/>
          <w:szCs w:val="36"/>
          <w:shd w:val="clear" w:color="auto" w:fill="FFFFFF"/>
        </w:rPr>
      </w:pPr>
      <w:r>
        <w:rPr>
          <w:rFonts w:cs="Calibri"/>
          <w:b/>
          <w:color w:val="222222"/>
          <w:sz w:val="36"/>
          <w:szCs w:val="36"/>
          <w:shd w:val="clear" w:color="auto" w:fill="FFFFFF"/>
        </w:rPr>
        <w:t>Em</w:t>
      </w:r>
      <w:r w:rsidR="00017645">
        <w:rPr>
          <w:rFonts w:cs="Calibri"/>
          <w:b/>
          <w:color w:val="222222"/>
          <w:sz w:val="36"/>
          <w:szCs w:val="36"/>
          <w:shd w:val="clear" w:color="auto" w:fill="FFFFFF"/>
        </w:rPr>
        <w:t>erging companies in the industry</w:t>
      </w:r>
    </w:p>
    <w:p w:rsidR="00017645" w:rsidRPr="00B16841" w:rsidRDefault="00017645" w:rsidP="00FE044E">
      <w:pPr>
        <w:pStyle w:val="NormalWeb"/>
        <w:shd w:val="clear" w:color="auto" w:fill="FFFFFF"/>
        <w:spacing w:line="360" w:lineRule="auto"/>
        <w:jc w:val="both"/>
        <w:rPr>
          <w:rFonts w:ascii="Calibri" w:hAnsi="Calibri" w:cstheme="minorBidi"/>
          <w:lang w:eastAsia="ja-JP"/>
        </w:rPr>
      </w:pPr>
      <w:r w:rsidRPr="00B16841">
        <w:rPr>
          <w:rFonts w:ascii="Calibri" w:hAnsi="Calibri" w:cstheme="minorBidi"/>
          <w:lang w:eastAsia="ja-JP"/>
        </w:rPr>
        <w:t>Some of the biggest innovations in the </w:t>
      </w:r>
      <w:hyperlink r:id="rId9" w:history="1">
        <w:r w:rsidRPr="00B16841">
          <w:rPr>
            <w:rFonts w:ascii="Calibri" w:hAnsi="Calibri" w:cstheme="minorBidi"/>
            <w:lang w:eastAsia="ja-JP"/>
          </w:rPr>
          <w:t>healthcare</w:t>
        </w:r>
      </w:hyperlink>
      <w:r w:rsidRPr="00B16841">
        <w:rPr>
          <w:rFonts w:ascii="Calibri" w:hAnsi="Calibri" w:cstheme="minorBidi"/>
          <w:lang w:eastAsia="ja-JP"/>
        </w:rPr>
        <w:t xml:space="preserve"> industry </w:t>
      </w:r>
      <w:r w:rsidR="00B16841" w:rsidRPr="00B16841">
        <w:rPr>
          <w:rFonts w:ascii="Calibri" w:hAnsi="Calibri" w:cstheme="minorBidi"/>
          <w:lang w:eastAsia="ja-JP"/>
        </w:rPr>
        <w:t>is</w:t>
      </w:r>
      <w:r w:rsidRPr="00B16841">
        <w:rPr>
          <w:rFonts w:ascii="Calibri" w:hAnsi="Calibri" w:cstheme="minorBidi"/>
          <w:lang w:eastAsia="ja-JP"/>
        </w:rPr>
        <w:t xml:space="preserve"> being made by small pharmaceutical companies, some with fewer employees than a single department in one of the larger companies.</w:t>
      </w:r>
      <w:r w:rsidR="00B16841" w:rsidRPr="00B16841">
        <w:rPr>
          <w:rFonts w:ascii="Calibri" w:hAnsi="Calibri" w:cstheme="minorBidi"/>
          <w:lang w:eastAsia="ja-JP"/>
        </w:rPr>
        <w:t xml:space="preserve"> </w:t>
      </w:r>
      <w:r w:rsidRPr="00B16841">
        <w:rPr>
          <w:rFonts w:ascii="Calibri" w:hAnsi="Calibri" w:cstheme="minorBidi"/>
          <w:lang w:eastAsia="ja-JP"/>
        </w:rPr>
        <w:t>By focusing on niche markets and therapeutic areas, these little companies are making a big impact on patients. </w:t>
      </w:r>
      <w:r w:rsidR="00B16841" w:rsidRPr="00B16841">
        <w:rPr>
          <w:rFonts w:ascii="Calibri" w:hAnsi="Calibri" w:cstheme="minorBidi"/>
          <w:lang w:eastAsia="ja-JP"/>
        </w:rPr>
        <w:t xml:space="preserve"> </w:t>
      </w:r>
      <w:r w:rsidR="00BE2F12">
        <w:rPr>
          <w:rFonts w:ascii="Calibri" w:hAnsi="Calibri" w:cstheme="minorBidi"/>
          <w:lang w:eastAsia="ja-JP"/>
        </w:rPr>
        <w:t>S</w:t>
      </w:r>
      <w:r w:rsidRPr="00B16841">
        <w:rPr>
          <w:rFonts w:ascii="Calibri" w:hAnsi="Calibri" w:cstheme="minorBidi"/>
          <w:lang w:eastAsia="ja-JP"/>
        </w:rPr>
        <w:t>everal companies – mainly information technology enterprises – engaged in supporting pharmaceutical development and sales.</w:t>
      </w:r>
    </w:p>
    <w:p w:rsidR="00C80911" w:rsidRPr="008C2516" w:rsidRDefault="00017645" w:rsidP="00C80911">
      <w:pPr>
        <w:pStyle w:val="NormalWeb"/>
        <w:numPr>
          <w:ilvl w:val="0"/>
          <w:numId w:val="31"/>
        </w:numPr>
        <w:shd w:val="clear" w:color="auto" w:fill="FFFFFF"/>
        <w:spacing w:line="360" w:lineRule="auto"/>
        <w:jc w:val="both"/>
        <w:rPr>
          <w:rFonts w:ascii="Calibri" w:hAnsi="Calibri" w:cstheme="minorBidi"/>
          <w:lang w:eastAsia="ja-JP"/>
        </w:rPr>
      </w:pPr>
      <w:r w:rsidRPr="008C2516">
        <w:rPr>
          <w:rFonts w:ascii="Calibri" w:hAnsi="Calibri" w:cstheme="minorBidi"/>
          <w:b/>
          <w:lang w:eastAsia="ja-JP"/>
        </w:rPr>
        <w:t>US WorldMeds</w:t>
      </w:r>
      <w:r w:rsidR="00C80911" w:rsidRPr="008C2516">
        <w:rPr>
          <w:rFonts w:ascii="Calibri" w:hAnsi="Calibri" w:cstheme="minorBidi"/>
          <w:lang w:eastAsia="ja-JP"/>
        </w:rPr>
        <w:t>:</w:t>
      </w:r>
      <w:r w:rsidRPr="008C2516">
        <w:rPr>
          <w:rFonts w:ascii="Calibri" w:hAnsi="Calibri" w:cstheme="minorBidi"/>
          <w:lang w:eastAsia="ja-JP"/>
        </w:rPr>
        <w:t xml:space="preserve"> Its marketed products include treatments for malignant hyperthermia, cervical dystonia, and hypomobility in Parkinson's disease. It also makes Lofexidine, a non-narcotic drug for reducing opiate withdrawal symptoms, a growing area of concern as opiates continue to be abused.</w:t>
      </w:r>
    </w:p>
    <w:p w:rsidR="00017645" w:rsidRPr="008C2516" w:rsidRDefault="00C80911" w:rsidP="00FE044E">
      <w:pPr>
        <w:pStyle w:val="NormalWeb"/>
        <w:numPr>
          <w:ilvl w:val="0"/>
          <w:numId w:val="31"/>
        </w:numPr>
        <w:shd w:val="clear" w:color="auto" w:fill="FFFFFF"/>
        <w:spacing w:line="360" w:lineRule="auto"/>
        <w:jc w:val="both"/>
        <w:rPr>
          <w:rFonts w:ascii="Calibri" w:hAnsi="Calibri" w:cstheme="minorBidi"/>
          <w:lang w:eastAsia="ja-JP"/>
        </w:rPr>
      </w:pPr>
      <w:proofErr w:type="spellStart"/>
      <w:r w:rsidRPr="008C2516">
        <w:rPr>
          <w:rFonts w:ascii="Calibri" w:hAnsi="Calibri" w:cstheme="minorBidi"/>
          <w:b/>
          <w:lang w:eastAsia="ja-JP"/>
        </w:rPr>
        <w:t>Elorac</w:t>
      </w:r>
      <w:proofErr w:type="spellEnd"/>
      <w:r w:rsidRPr="008C2516">
        <w:rPr>
          <w:rFonts w:ascii="Calibri" w:hAnsi="Calibri" w:cstheme="minorBidi"/>
          <w:b/>
          <w:lang w:eastAsia="ja-JP"/>
        </w:rPr>
        <w:t xml:space="preserve"> Inc.:</w:t>
      </w:r>
      <w:r w:rsidRPr="008C2516">
        <w:rPr>
          <w:rFonts w:ascii="Calibri" w:hAnsi="Calibri" w:cstheme="minorBidi"/>
          <w:lang w:eastAsia="ja-JP"/>
        </w:rPr>
        <w:t xml:space="preserve"> It </w:t>
      </w:r>
      <w:r w:rsidR="00017645" w:rsidRPr="008C2516">
        <w:rPr>
          <w:rFonts w:ascii="Calibri" w:hAnsi="Calibri" w:cstheme="minorBidi"/>
          <w:lang w:eastAsia="ja-JP"/>
        </w:rPr>
        <w:t xml:space="preserve">develops and markets drug products for the U.S. dermatology and oncology drug markets. It </w:t>
      </w:r>
      <w:r w:rsidRPr="008C2516">
        <w:rPr>
          <w:rFonts w:ascii="Calibri" w:hAnsi="Calibri" w:cstheme="minorBidi"/>
          <w:lang w:eastAsia="ja-JP"/>
        </w:rPr>
        <w:t xml:space="preserve">makes drugs </w:t>
      </w:r>
      <w:r w:rsidR="00017645" w:rsidRPr="008C2516">
        <w:rPr>
          <w:rFonts w:ascii="Calibri" w:hAnsi="Calibri" w:cstheme="minorBidi"/>
          <w:lang w:eastAsia="ja-JP"/>
        </w:rPr>
        <w:t>used to treat and remove the removal of common and plantar warts. </w:t>
      </w:r>
    </w:p>
    <w:p w:rsidR="00017645" w:rsidRPr="008C2516" w:rsidRDefault="00C80911" w:rsidP="00FE044E">
      <w:pPr>
        <w:pStyle w:val="NormalWeb"/>
        <w:numPr>
          <w:ilvl w:val="0"/>
          <w:numId w:val="31"/>
        </w:numPr>
        <w:shd w:val="clear" w:color="auto" w:fill="FFFFFF"/>
        <w:spacing w:line="360" w:lineRule="auto"/>
        <w:jc w:val="both"/>
        <w:rPr>
          <w:rFonts w:ascii="Calibri" w:hAnsi="Calibri" w:cstheme="minorBidi"/>
          <w:lang w:eastAsia="ja-JP"/>
        </w:rPr>
      </w:pPr>
      <w:proofErr w:type="spellStart"/>
      <w:r w:rsidRPr="008C2516">
        <w:rPr>
          <w:rFonts w:ascii="Calibri" w:hAnsi="Calibri" w:cstheme="minorBidi"/>
          <w:b/>
          <w:lang w:eastAsia="ja-JP"/>
        </w:rPr>
        <w:t>Pacira</w:t>
      </w:r>
      <w:proofErr w:type="spellEnd"/>
      <w:r w:rsidRPr="008C2516">
        <w:rPr>
          <w:rFonts w:ascii="Calibri" w:hAnsi="Calibri" w:cstheme="minorBidi"/>
          <w:b/>
          <w:lang w:eastAsia="ja-JP"/>
        </w:rPr>
        <w:t xml:space="preserve"> Pharmaceuticals, Inc.:</w:t>
      </w:r>
      <w:r w:rsidR="00017645" w:rsidRPr="008C2516">
        <w:rPr>
          <w:rFonts w:ascii="Calibri" w:hAnsi="Calibri" w:cstheme="minorBidi"/>
          <w:lang w:eastAsia="ja-JP"/>
        </w:rPr>
        <w:t xml:space="preserve"> </w:t>
      </w:r>
      <w:r w:rsidRPr="008C2516">
        <w:rPr>
          <w:rFonts w:ascii="Calibri" w:hAnsi="Calibri" w:cstheme="minorBidi"/>
          <w:lang w:eastAsia="ja-JP"/>
        </w:rPr>
        <w:t xml:space="preserve">It is </w:t>
      </w:r>
      <w:r w:rsidR="00017645" w:rsidRPr="008C2516">
        <w:rPr>
          <w:rFonts w:ascii="Calibri" w:hAnsi="Calibri" w:cstheme="minorBidi"/>
          <w:lang w:eastAsia="ja-JP"/>
        </w:rPr>
        <w:t>developing non-opioid products for managing post-surgical pain.</w:t>
      </w:r>
      <w:r w:rsidR="00B16841" w:rsidRPr="008C2516">
        <w:rPr>
          <w:rFonts w:ascii="Calibri" w:hAnsi="Calibri" w:cstheme="minorBidi"/>
          <w:lang w:eastAsia="ja-JP"/>
        </w:rPr>
        <w:t xml:space="preserve"> </w:t>
      </w:r>
      <w:r w:rsidR="009901FF" w:rsidRPr="008C2516">
        <w:rPr>
          <w:rFonts w:ascii="Calibri" w:hAnsi="Calibri" w:cstheme="minorBidi"/>
          <w:lang w:eastAsia="ja-JP"/>
        </w:rPr>
        <w:t xml:space="preserve">It also developed </w:t>
      </w:r>
      <w:r w:rsidR="00017645" w:rsidRPr="008C2516">
        <w:rPr>
          <w:rFonts w:ascii="Calibri" w:hAnsi="Calibri" w:cstheme="minorBidi"/>
          <w:lang w:eastAsia="ja-JP"/>
        </w:rPr>
        <w:t xml:space="preserve">a novel drug delivery method which encapsulates drugs and then releases them over a set </w:t>
      </w:r>
      <w:r w:rsidR="00B16841" w:rsidRPr="008C2516">
        <w:rPr>
          <w:rFonts w:ascii="Calibri" w:hAnsi="Calibri" w:cstheme="minorBidi"/>
          <w:lang w:eastAsia="ja-JP"/>
        </w:rPr>
        <w:t>time</w:t>
      </w:r>
      <w:r w:rsidR="00017645" w:rsidRPr="008C2516">
        <w:rPr>
          <w:rFonts w:ascii="Calibri" w:hAnsi="Calibri" w:cstheme="minorBidi"/>
          <w:lang w:eastAsia="ja-JP"/>
        </w:rPr>
        <w:t xml:space="preserve"> ranging from 1 to 30 days. </w:t>
      </w:r>
    </w:p>
    <w:p w:rsidR="009901FF" w:rsidRPr="008C2516" w:rsidRDefault="00017645" w:rsidP="00B97E66">
      <w:pPr>
        <w:pStyle w:val="NormalWeb"/>
        <w:numPr>
          <w:ilvl w:val="0"/>
          <w:numId w:val="31"/>
        </w:numPr>
        <w:shd w:val="clear" w:color="auto" w:fill="FFFFFF"/>
        <w:spacing w:line="360" w:lineRule="auto"/>
        <w:jc w:val="both"/>
        <w:rPr>
          <w:rFonts w:ascii="Calibri" w:hAnsi="Calibri" w:cstheme="minorBidi"/>
          <w:lang w:eastAsia="ja-JP"/>
        </w:rPr>
      </w:pPr>
      <w:r w:rsidRPr="008C2516">
        <w:rPr>
          <w:rFonts w:ascii="Calibri" w:hAnsi="Calibri" w:cstheme="minorBidi"/>
          <w:b/>
          <w:lang w:eastAsia="ja-JP"/>
        </w:rPr>
        <w:t>Putney</w:t>
      </w:r>
      <w:r w:rsidR="009901FF" w:rsidRPr="008C2516">
        <w:rPr>
          <w:rFonts w:ascii="Calibri" w:hAnsi="Calibri" w:cstheme="minorBidi"/>
          <w:lang w:eastAsia="ja-JP"/>
        </w:rPr>
        <w:t xml:space="preserve">: It </w:t>
      </w:r>
      <w:r w:rsidRPr="008C2516">
        <w:rPr>
          <w:rFonts w:ascii="Calibri" w:hAnsi="Calibri" w:cstheme="minorBidi"/>
          <w:lang w:eastAsia="ja-JP"/>
        </w:rPr>
        <w:t>creates high-quality generic medications for pets. From pain relief medications to antibiotics, they produce drugs used in veterinarians' offices around the country.</w:t>
      </w:r>
      <w:r w:rsidR="00B16841" w:rsidRPr="008C2516">
        <w:rPr>
          <w:rFonts w:ascii="Calibri" w:hAnsi="Calibri" w:cstheme="minorBidi"/>
          <w:lang w:eastAsia="ja-JP"/>
        </w:rPr>
        <w:t xml:space="preserve"> </w:t>
      </w:r>
      <w:r w:rsidRPr="008C2516">
        <w:rPr>
          <w:rFonts w:ascii="Calibri" w:hAnsi="Calibri" w:cstheme="minorBidi"/>
          <w:lang w:eastAsia="ja-JP"/>
        </w:rPr>
        <w:t xml:space="preserve">Its products </w:t>
      </w:r>
      <w:r w:rsidR="009901FF" w:rsidRPr="008C2516">
        <w:rPr>
          <w:rFonts w:ascii="Calibri" w:hAnsi="Calibri" w:cstheme="minorBidi"/>
          <w:lang w:eastAsia="ja-JP"/>
        </w:rPr>
        <w:t xml:space="preserve">are </w:t>
      </w:r>
      <w:r w:rsidRPr="008C2516">
        <w:rPr>
          <w:rFonts w:ascii="Calibri" w:hAnsi="Calibri" w:cstheme="minorBidi"/>
          <w:lang w:eastAsia="ja-JP"/>
        </w:rPr>
        <w:t>used for skin infections in dogs and Carprofen, used to treat canine osteoarthritis and given for some post-surgery pain.</w:t>
      </w:r>
      <w:r w:rsidR="00B16841" w:rsidRPr="008C2516">
        <w:rPr>
          <w:rFonts w:ascii="Calibri" w:hAnsi="Calibri" w:cstheme="minorBidi"/>
          <w:lang w:eastAsia="ja-JP"/>
        </w:rPr>
        <w:t xml:space="preserve"> </w:t>
      </w:r>
    </w:p>
    <w:p w:rsidR="00017645" w:rsidRPr="008C2516" w:rsidRDefault="00017645" w:rsidP="00B97E66">
      <w:pPr>
        <w:pStyle w:val="NormalWeb"/>
        <w:numPr>
          <w:ilvl w:val="0"/>
          <w:numId w:val="31"/>
        </w:numPr>
        <w:shd w:val="clear" w:color="auto" w:fill="FFFFFF"/>
        <w:spacing w:line="360" w:lineRule="auto"/>
        <w:jc w:val="both"/>
        <w:rPr>
          <w:rFonts w:ascii="Calibri" w:hAnsi="Calibri" w:cstheme="minorBidi"/>
          <w:lang w:eastAsia="ja-JP"/>
        </w:rPr>
      </w:pPr>
      <w:hyperlink r:id="rId10" w:tgtFrame="_blank" w:history="1">
        <w:r w:rsidRPr="008C2516">
          <w:rPr>
            <w:rFonts w:ascii="Calibri" w:hAnsi="Calibri" w:cstheme="minorBidi"/>
            <w:b/>
            <w:lang w:eastAsia="ja-JP"/>
          </w:rPr>
          <w:t>Vets First Choice</w:t>
        </w:r>
      </w:hyperlink>
      <w:r w:rsidR="009901FF" w:rsidRPr="008C2516">
        <w:rPr>
          <w:rFonts w:ascii="Calibri" w:hAnsi="Calibri" w:cstheme="minorBidi"/>
          <w:b/>
          <w:lang w:eastAsia="ja-JP"/>
        </w:rPr>
        <w:t>:</w:t>
      </w:r>
      <w:r w:rsidR="009901FF" w:rsidRPr="008C2516">
        <w:rPr>
          <w:rFonts w:ascii="Calibri" w:hAnsi="Calibri" w:cstheme="minorBidi"/>
          <w:lang w:eastAsia="ja-JP"/>
        </w:rPr>
        <w:t xml:space="preserve"> It </w:t>
      </w:r>
      <w:r w:rsidRPr="008C2516">
        <w:rPr>
          <w:rFonts w:ascii="Calibri" w:hAnsi="Calibri" w:cstheme="minorBidi"/>
          <w:lang w:eastAsia="ja-JP"/>
        </w:rPr>
        <w:t>is an online veterinary partner-pharmacy and marketing service provider that provides home delivery of FDA-approved pharmaceuticals, therapeutic diets and compounded medications to pet owners on behalf of veterinary practices. </w:t>
      </w:r>
    </w:p>
    <w:p w:rsidR="00017645" w:rsidRPr="008C2516" w:rsidRDefault="00017645" w:rsidP="00FE044E">
      <w:pPr>
        <w:pStyle w:val="NormalWeb"/>
        <w:numPr>
          <w:ilvl w:val="0"/>
          <w:numId w:val="31"/>
        </w:numPr>
        <w:shd w:val="clear" w:color="auto" w:fill="FFFFFF"/>
        <w:spacing w:line="360" w:lineRule="auto"/>
        <w:jc w:val="both"/>
        <w:rPr>
          <w:rFonts w:ascii="Calibri" w:hAnsi="Calibri" w:cstheme="minorBidi"/>
          <w:lang w:eastAsia="ja-JP"/>
        </w:rPr>
      </w:pPr>
      <w:proofErr w:type="spellStart"/>
      <w:r w:rsidRPr="00560EB3">
        <w:rPr>
          <w:rFonts w:ascii="Calibri" w:hAnsi="Calibri" w:cstheme="minorBidi"/>
          <w:b/>
          <w:lang w:eastAsia="ja-JP"/>
        </w:rPr>
        <w:t>Clinipace</w:t>
      </w:r>
      <w:proofErr w:type="spellEnd"/>
      <w:r w:rsidRPr="00560EB3">
        <w:rPr>
          <w:rFonts w:ascii="Calibri" w:hAnsi="Calibri" w:cstheme="minorBidi"/>
          <w:b/>
          <w:lang w:eastAsia="ja-JP"/>
        </w:rPr>
        <w:t xml:space="preserve"> Worldwide</w:t>
      </w:r>
      <w:r w:rsidRPr="008C2516">
        <w:rPr>
          <w:rFonts w:ascii="Calibri" w:hAnsi="Calibri" w:cstheme="minorBidi"/>
          <w:lang w:eastAsia="ja-JP"/>
        </w:rPr>
        <w:t> is a </w:t>
      </w:r>
      <w:hyperlink r:id="rId11" w:history="1">
        <w:r w:rsidRPr="008C2516">
          <w:rPr>
            <w:rFonts w:ascii="Calibri" w:hAnsi="Calibri" w:cstheme="minorBidi"/>
            <w:lang w:eastAsia="ja-JP"/>
          </w:rPr>
          <w:t>contract research organization (CRO)</w:t>
        </w:r>
      </w:hyperlink>
      <w:r w:rsidRPr="008C2516">
        <w:rPr>
          <w:rFonts w:ascii="Calibri" w:hAnsi="Calibri" w:cstheme="minorBidi"/>
          <w:lang w:eastAsia="ja-JP"/>
        </w:rPr>
        <w:t> that conduct trials of experimental drugs for pharmaceutical and </w:t>
      </w:r>
      <w:hyperlink r:id="rId12" w:history="1">
        <w:r w:rsidRPr="008C2516">
          <w:rPr>
            <w:rFonts w:ascii="Calibri" w:hAnsi="Calibri" w:cstheme="minorBidi"/>
            <w:lang w:eastAsia="ja-JP"/>
          </w:rPr>
          <w:t>biotechnology</w:t>
        </w:r>
      </w:hyperlink>
      <w:r w:rsidR="00B16841" w:rsidRPr="008C2516">
        <w:rPr>
          <w:rFonts w:ascii="Calibri" w:hAnsi="Calibri" w:cstheme="minorBidi"/>
          <w:lang w:eastAsia="ja-JP"/>
        </w:rPr>
        <w:t xml:space="preserve"> </w:t>
      </w:r>
      <w:r w:rsidRPr="008C2516">
        <w:rPr>
          <w:rFonts w:ascii="Calibri" w:hAnsi="Calibri" w:cstheme="minorBidi"/>
          <w:lang w:eastAsia="ja-JP"/>
        </w:rPr>
        <w:t>companies. </w:t>
      </w:r>
    </w:p>
    <w:p w:rsidR="00017645" w:rsidRPr="008C2516" w:rsidRDefault="00017645" w:rsidP="00FE044E">
      <w:pPr>
        <w:pStyle w:val="NormalWeb"/>
        <w:numPr>
          <w:ilvl w:val="0"/>
          <w:numId w:val="31"/>
        </w:numPr>
        <w:shd w:val="clear" w:color="auto" w:fill="FFFFFF"/>
        <w:spacing w:line="360" w:lineRule="auto"/>
        <w:jc w:val="both"/>
        <w:rPr>
          <w:rFonts w:ascii="Calibri" w:hAnsi="Calibri" w:cstheme="minorBidi"/>
          <w:lang w:eastAsia="ja-JP"/>
        </w:rPr>
      </w:pPr>
      <w:r w:rsidRPr="00560EB3">
        <w:rPr>
          <w:rFonts w:ascii="Calibri" w:hAnsi="Calibri" w:cstheme="minorBidi"/>
          <w:b/>
          <w:lang w:eastAsia="ja-JP"/>
        </w:rPr>
        <w:t>Integrated Prescription</w:t>
      </w:r>
      <w:r w:rsidRPr="008C2516">
        <w:rPr>
          <w:rFonts w:ascii="Calibri" w:hAnsi="Calibri" w:cstheme="minorBidi"/>
          <w:lang w:eastAsia="ja-JP"/>
        </w:rPr>
        <w:t xml:space="preserve"> </w:t>
      </w:r>
      <w:r w:rsidRPr="00560EB3">
        <w:rPr>
          <w:rFonts w:ascii="Calibri" w:hAnsi="Calibri" w:cstheme="minorBidi"/>
          <w:b/>
          <w:lang w:eastAsia="ja-JP"/>
        </w:rPr>
        <w:t>Management</w:t>
      </w:r>
      <w:r w:rsidRPr="008C2516">
        <w:rPr>
          <w:rFonts w:ascii="Calibri" w:hAnsi="Calibri" w:cstheme="minorBidi"/>
          <w:lang w:eastAsia="ja-JP"/>
        </w:rPr>
        <w:t xml:space="preserve"> </w:t>
      </w:r>
      <w:r w:rsidR="00B16841" w:rsidRPr="008C2516">
        <w:rPr>
          <w:rFonts w:ascii="Calibri" w:hAnsi="Calibri" w:cstheme="minorBidi"/>
          <w:lang w:eastAsia="ja-JP"/>
        </w:rPr>
        <w:t>is</w:t>
      </w:r>
      <w:r w:rsidRPr="008C2516">
        <w:rPr>
          <w:rFonts w:ascii="Calibri" w:hAnsi="Calibri" w:cstheme="minorBidi"/>
          <w:lang w:eastAsia="ja-JP"/>
        </w:rPr>
        <w:t xml:space="preserve"> a prescription benefit manager. It provides services for employers, third-party administrators, and brokers. </w:t>
      </w:r>
    </w:p>
    <w:p w:rsidR="00301AB2" w:rsidRPr="00301AB2" w:rsidRDefault="00017645" w:rsidP="00301AB2">
      <w:pPr>
        <w:pStyle w:val="NormalWeb"/>
        <w:numPr>
          <w:ilvl w:val="0"/>
          <w:numId w:val="31"/>
        </w:numPr>
        <w:shd w:val="clear" w:color="auto" w:fill="FFFFFF"/>
        <w:spacing w:line="360" w:lineRule="auto"/>
        <w:jc w:val="both"/>
        <w:rPr>
          <w:rFonts w:ascii="Calibri" w:hAnsi="Calibri" w:cstheme="minorBidi"/>
          <w:lang w:eastAsia="ja-JP"/>
        </w:rPr>
      </w:pPr>
      <w:r w:rsidRPr="00560EB3">
        <w:rPr>
          <w:rFonts w:ascii="Calibri" w:hAnsi="Calibri" w:cstheme="minorBidi"/>
          <w:b/>
          <w:lang w:eastAsia="ja-JP"/>
        </w:rPr>
        <w:t>Noble Rx Marketing</w:t>
      </w:r>
      <w:r w:rsidRPr="008C2516">
        <w:rPr>
          <w:rFonts w:ascii="Calibri" w:hAnsi="Calibri" w:cstheme="minorBidi"/>
          <w:lang w:eastAsia="ja-JP"/>
        </w:rPr>
        <w:t xml:space="preserve"> develops educational marketing materials geared toward patients and healthcare professionals on behalf of biotech and pharmaceutical companies. They create a wide variety of comprehensive materials from disease state information to guides on how to use and administer treatment, used by both</w:t>
      </w:r>
      <w:r w:rsidR="00B16841" w:rsidRPr="008C2516">
        <w:rPr>
          <w:rFonts w:ascii="Calibri" w:hAnsi="Calibri" w:cstheme="minorBidi"/>
          <w:lang w:eastAsia="ja-JP"/>
        </w:rPr>
        <w:t xml:space="preserve"> physicians and their patients.</w:t>
      </w:r>
    </w:p>
    <w:p w:rsidR="005F43E0" w:rsidRPr="008C2516" w:rsidRDefault="00017645" w:rsidP="00FE044E">
      <w:pPr>
        <w:pStyle w:val="NormalWeb"/>
        <w:numPr>
          <w:ilvl w:val="0"/>
          <w:numId w:val="31"/>
        </w:numPr>
        <w:shd w:val="clear" w:color="auto" w:fill="FFFFFF"/>
        <w:spacing w:line="360" w:lineRule="auto"/>
        <w:jc w:val="both"/>
        <w:rPr>
          <w:rFonts w:ascii="Calibri" w:hAnsi="Calibri" w:cstheme="minorBidi"/>
          <w:lang w:eastAsia="ja-JP"/>
        </w:rPr>
      </w:pPr>
      <w:r w:rsidRPr="00560EB3">
        <w:rPr>
          <w:rFonts w:ascii="Calibri" w:hAnsi="Calibri" w:cstheme="minorBidi"/>
          <w:b/>
          <w:lang w:eastAsia="ja-JP"/>
        </w:rPr>
        <w:t>Greenphire,</w:t>
      </w:r>
      <w:r w:rsidR="004B75FD" w:rsidRPr="008C2516">
        <w:rPr>
          <w:rFonts w:ascii="Calibri" w:hAnsi="Calibri" w:cstheme="minorBidi"/>
          <w:lang w:eastAsia="ja-JP"/>
        </w:rPr>
        <w:t xml:space="preserve"> </w:t>
      </w:r>
      <w:r w:rsidRPr="008C2516">
        <w:rPr>
          <w:rFonts w:ascii="Calibri" w:hAnsi="Calibri" w:cstheme="minorBidi"/>
          <w:lang w:eastAsia="ja-JP"/>
        </w:rPr>
        <w:t>develops and manages proprietary payment technologies for the clinical trial industry. An extremely competitive area, clinical trials are the focal point for many pharmaceutical companies, making Greenphire highly sought after. </w:t>
      </w:r>
    </w:p>
    <w:p w:rsidR="00A177AD" w:rsidRDefault="00A177AD" w:rsidP="00C012A4">
      <w:pPr>
        <w:pStyle w:val="NoSpacing"/>
        <w:jc w:val="both"/>
        <w:rPr>
          <w:rFonts w:ascii="Arial" w:hAnsi="Arial" w:cs="Arial"/>
          <w:color w:val="222222"/>
          <w:sz w:val="21"/>
          <w:szCs w:val="21"/>
          <w:shd w:val="clear" w:color="auto" w:fill="FFFFFF"/>
        </w:rPr>
      </w:pPr>
    </w:p>
    <w:p w:rsidR="00A177AD" w:rsidRPr="00C012A4" w:rsidRDefault="00A177AD" w:rsidP="00C012A4">
      <w:pPr>
        <w:pStyle w:val="NoSpacing"/>
        <w:jc w:val="both"/>
        <w:rPr>
          <w:rFonts w:cs="Calibri"/>
          <w:b/>
          <w:color w:val="222222"/>
          <w:sz w:val="36"/>
          <w:szCs w:val="36"/>
          <w:shd w:val="clear" w:color="auto" w:fill="FFFFFF"/>
        </w:rPr>
      </w:pPr>
      <w:r w:rsidRPr="00C012A4">
        <w:rPr>
          <w:rFonts w:cs="Calibri"/>
          <w:b/>
          <w:color w:val="222222"/>
          <w:sz w:val="36"/>
          <w:szCs w:val="36"/>
          <w:shd w:val="clear" w:color="auto" w:fill="FFFFFF"/>
        </w:rPr>
        <w:t>Major Industry Trends</w:t>
      </w:r>
    </w:p>
    <w:p w:rsidR="00A177AD" w:rsidRDefault="00A177AD" w:rsidP="00C012A4">
      <w:pPr>
        <w:pStyle w:val="NoSpacing"/>
        <w:jc w:val="both"/>
        <w:rPr>
          <w:rFonts w:ascii="Arial" w:hAnsi="Arial" w:cs="Arial"/>
          <w:color w:val="222222"/>
          <w:sz w:val="21"/>
          <w:szCs w:val="21"/>
          <w:shd w:val="clear" w:color="auto" w:fill="FFFFFF"/>
        </w:rPr>
      </w:pPr>
    </w:p>
    <w:p w:rsidR="00A177AD" w:rsidRPr="00C012A4" w:rsidRDefault="00A177AD" w:rsidP="00FE044E">
      <w:pPr>
        <w:pStyle w:val="NoSpacing"/>
        <w:numPr>
          <w:ilvl w:val="0"/>
          <w:numId w:val="17"/>
        </w:numPr>
        <w:spacing w:line="360" w:lineRule="auto"/>
        <w:jc w:val="both"/>
        <w:rPr>
          <w:sz w:val="24"/>
          <w:szCs w:val="24"/>
        </w:rPr>
      </w:pPr>
      <w:r w:rsidRPr="00C012A4">
        <w:rPr>
          <w:b/>
          <w:sz w:val="24"/>
          <w:szCs w:val="24"/>
        </w:rPr>
        <w:t>Drug-pricing concerns will only intensify:</w:t>
      </w:r>
      <w:r w:rsidRPr="00C012A4">
        <w:rPr>
          <w:sz w:val="24"/>
          <w:szCs w:val="24"/>
        </w:rPr>
        <w:t xml:space="preserve">  Big pharma players (e.g., Allergan, GSK, Novo Nordisk, Eli Lilly) are already saying ‘enough is enough’ and committing to voluntary price restraints or greater emphasis on volume-driven sales. Others, such as Novartis, Amgen and Roche, are coming out in favor of value-based pricing.</w:t>
      </w:r>
    </w:p>
    <w:p w:rsidR="00A065BE" w:rsidRPr="00C012A4" w:rsidRDefault="00A065BE" w:rsidP="00FE044E">
      <w:pPr>
        <w:pStyle w:val="NoSpacing"/>
        <w:spacing w:line="360" w:lineRule="auto"/>
        <w:ind w:left="720"/>
        <w:jc w:val="both"/>
        <w:rPr>
          <w:sz w:val="24"/>
          <w:szCs w:val="24"/>
        </w:rPr>
      </w:pPr>
    </w:p>
    <w:p w:rsidR="00A065BE" w:rsidRDefault="00A177AD" w:rsidP="00FE044E">
      <w:pPr>
        <w:pStyle w:val="NoSpacing"/>
        <w:numPr>
          <w:ilvl w:val="0"/>
          <w:numId w:val="17"/>
        </w:numPr>
        <w:spacing w:line="360" w:lineRule="auto"/>
        <w:jc w:val="both"/>
        <w:rPr>
          <w:sz w:val="24"/>
          <w:szCs w:val="24"/>
        </w:rPr>
      </w:pPr>
      <w:r w:rsidRPr="00C012A4">
        <w:rPr>
          <w:b/>
          <w:sz w:val="24"/>
          <w:szCs w:val="24"/>
        </w:rPr>
        <w:t xml:space="preserve">The healthcare and technology sectors will </w:t>
      </w:r>
      <w:r w:rsidR="00A065BE" w:rsidRPr="00C012A4">
        <w:rPr>
          <w:b/>
          <w:sz w:val="24"/>
          <w:szCs w:val="24"/>
        </w:rPr>
        <w:t>continue to converge</w:t>
      </w:r>
      <w:r w:rsidRPr="00C012A4">
        <w:rPr>
          <w:b/>
          <w:sz w:val="24"/>
          <w:szCs w:val="24"/>
        </w:rPr>
        <w:t>:</w:t>
      </w:r>
      <w:r w:rsidRPr="00C012A4">
        <w:rPr>
          <w:sz w:val="24"/>
          <w:szCs w:val="24"/>
        </w:rPr>
        <w:t xml:space="preserve"> Among the markers of this convergence is the explosion in healthcare apps and other digital innovations, geared to boosting connectivity and engagement between all players along the healthcare chain.</w:t>
      </w:r>
    </w:p>
    <w:p w:rsidR="00CA0BCB" w:rsidRPr="00CA0BCB" w:rsidRDefault="00CA0BCB" w:rsidP="00FE044E">
      <w:pPr>
        <w:pStyle w:val="NoSpacing"/>
        <w:spacing w:line="360" w:lineRule="auto"/>
        <w:jc w:val="both"/>
        <w:rPr>
          <w:sz w:val="24"/>
          <w:szCs w:val="24"/>
        </w:rPr>
      </w:pPr>
    </w:p>
    <w:p w:rsidR="00A065BE" w:rsidRDefault="00A065BE" w:rsidP="00FE044E">
      <w:pPr>
        <w:pStyle w:val="NoSpacing"/>
        <w:numPr>
          <w:ilvl w:val="0"/>
          <w:numId w:val="17"/>
        </w:numPr>
        <w:spacing w:line="360" w:lineRule="auto"/>
        <w:jc w:val="both"/>
        <w:rPr>
          <w:sz w:val="24"/>
          <w:szCs w:val="24"/>
        </w:rPr>
      </w:pPr>
      <w:r w:rsidRPr="00C012A4">
        <w:rPr>
          <w:b/>
          <w:sz w:val="24"/>
          <w:szCs w:val="24"/>
        </w:rPr>
        <w:t>Adoption of Artificial Intelligence (AI) by pharma and biotech:</w:t>
      </w:r>
      <w:r w:rsidR="00171304" w:rsidRPr="00C012A4">
        <w:rPr>
          <w:b/>
          <w:sz w:val="24"/>
          <w:szCs w:val="24"/>
        </w:rPr>
        <w:t xml:space="preserve"> </w:t>
      </w:r>
      <w:r w:rsidR="00171304" w:rsidRPr="00C012A4">
        <w:rPr>
          <w:sz w:val="24"/>
          <w:szCs w:val="24"/>
        </w:rPr>
        <w:t xml:space="preserve">A potential of AI-based tools is now explored at all stages of drug discovery and development -- from research </w:t>
      </w:r>
      <w:r w:rsidR="00171304" w:rsidRPr="00C012A4">
        <w:rPr>
          <w:sz w:val="24"/>
          <w:szCs w:val="24"/>
        </w:rPr>
        <w:lastRenderedPageBreak/>
        <w:t>data mining and assisting in target identification and validation, to helping come up with novel lead compounds and drug candidates, and predicting their properties and risks. And finally, AI-based software is now able to assist in planning chemical synthesis to obtain compounds of interest. AI is also applied to planning pre-clinical and clinical trials and analyzing biomedical and clinical data.</w:t>
      </w:r>
    </w:p>
    <w:p w:rsidR="00E9621A" w:rsidRPr="00E9621A" w:rsidRDefault="00E9621A" w:rsidP="00FE044E">
      <w:pPr>
        <w:pStyle w:val="NoSpacing"/>
        <w:spacing w:line="360" w:lineRule="auto"/>
        <w:jc w:val="both"/>
        <w:rPr>
          <w:sz w:val="24"/>
          <w:szCs w:val="24"/>
        </w:rPr>
      </w:pPr>
    </w:p>
    <w:p w:rsidR="00A065BE" w:rsidRPr="00C012A4" w:rsidRDefault="00A065BE" w:rsidP="00FE044E">
      <w:pPr>
        <w:pStyle w:val="NoSpacing"/>
        <w:numPr>
          <w:ilvl w:val="0"/>
          <w:numId w:val="17"/>
        </w:numPr>
        <w:spacing w:line="360" w:lineRule="auto"/>
        <w:jc w:val="both"/>
        <w:rPr>
          <w:b/>
          <w:sz w:val="24"/>
          <w:szCs w:val="24"/>
        </w:rPr>
      </w:pPr>
      <w:r w:rsidRPr="00C012A4">
        <w:rPr>
          <w:b/>
          <w:sz w:val="24"/>
          <w:szCs w:val="24"/>
        </w:rPr>
        <w:t>Organs (body)-on-a-chip</w:t>
      </w:r>
      <w:r w:rsidR="00747D8E" w:rsidRPr="00C012A4">
        <w:rPr>
          <w:b/>
          <w:sz w:val="24"/>
          <w:szCs w:val="24"/>
        </w:rPr>
        <w:t xml:space="preserve">: </w:t>
      </w:r>
      <w:r w:rsidR="00747D8E" w:rsidRPr="00C012A4">
        <w:rPr>
          <w:sz w:val="24"/>
          <w:szCs w:val="24"/>
        </w:rPr>
        <w:t>Microchips lined by living human cells could revolutionize drug development, disease modeling and personalized medicine. These microchips, called ‘organs-on-chips’, offer a potential alternative to traditional animal testing. Ultimately, connecting the systems altogether is a way to have the whole “body-on-a-chip” system ideal for drug discovery and drug candidate testing and validation.</w:t>
      </w:r>
    </w:p>
    <w:p w:rsidR="00A065BE" w:rsidRPr="00C012A4" w:rsidRDefault="00A065BE" w:rsidP="00FE044E">
      <w:pPr>
        <w:pStyle w:val="ListParagraph"/>
        <w:spacing w:line="360" w:lineRule="auto"/>
        <w:jc w:val="both"/>
        <w:rPr>
          <w:b/>
          <w:sz w:val="24"/>
          <w:szCs w:val="24"/>
        </w:rPr>
      </w:pPr>
    </w:p>
    <w:p w:rsidR="007E7157" w:rsidRPr="007E7157" w:rsidRDefault="00A065BE" w:rsidP="00FE044E">
      <w:pPr>
        <w:pStyle w:val="NoSpacing"/>
        <w:numPr>
          <w:ilvl w:val="0"/>
          <w:numId w:val="17"/>
        </w:numPr>
        <w:spacing w:line="360" w:lineRule="auto"/>
        <w:jc w:val="both"/>
        <w:rPr>
          <w:b/>
          <w:sz w:val="28"/>
          <w:szCs w:val="28"/>
        </w:rPr>
      </w:pPr>
      <w:r w:rsidRPr="00C012A4">
        <w:rPr>
          <w:b/>
          <w:sz w:val="24"/>
          <w:szCs w:val="24"/>
        </w:rPr>
        <w:t>Bioprinting</w:t>
      </w:r>
      <w:r w:rsidR="00747D8E" w:rsidRPr="00C012A4">
        <w:rPr>
          <w:b/>
          <w:sz w:val="24"/>
          <w:szCs w:val="24"/>
        </w:rPr>
        <w:t xml:space="preserve">: </w:t>
      </w:r>
      <w:r w:rsidR="00747D8E" w:rsidRPr="00C012A4">
        <w:rPr>
          <w:sz w:val="24"/>
          <w:szCs w:val="24"/>
        </w:rPr>
        <w:t xml:space="preserve">The area of bioprinting human tissues and organs is rapidly developing and it is, undoubtedly, the future of medicine. Founded in early 2016, </w:t>
      </w:r>
      <w:proofErr w:type="spellStart"/>
      <w:r w:rsidR="00747D8E" w:rsidRPr="00C012A4">
        <w:rPr>
          <w:sz w:val="24"/>
          <w:szCs w:val="24"/>
        </w:rPr>
        <w:t>Cellink</w:t>
      </w:r>
      <w:proofErr w:type="spellEnd"/>
      <w:r w:rsidR="00747D8E" w:rsidRPr="00C012A4">
        <w:rPr>
          <w:sz w:val="24"/>
          <w:szCs w:val="24"/>
        </w:rPr>
        <w:t xml:space="preserve"> is one of the first companies in the world to offer 3D printable </w:t>
      </w:r>
      <w:proofErr w:type="spellStart"/>
      <w:r w:rsidR="00747D8E" w:rsidRPr="00C012A4">
        <w:rPr>
          <w:sz w:val="24"/>
          <w:szCs w:val="24"/>
        </w:rPr>
        <w:t>bioink</w:t>
      </w:r>
      <w:proofErr w:type="spellEnd"/>
      <w:r w:rsidR="00747D8E" w:rsidRPr="00C012A4">
        <w:rPr>
          <w:sz w:val="24"/>
          <w:szCs w:val="24"/>
        </w:rPr>
        <w:t xml:space="preserve"> – a liquid that enables life and growth of human cells. Now the company </w:t>
      </w:r>
      <w:proofErr w:type="spellStart"/>
      <w:r w:rsidR="00747D8E" w:rsidRPr="00C012A4">
        <w:rPr>
          <w:sz w:val="24"/>
          <w:szCs w:val="24"/>
        </w:rPr>
        <w:t>bioprints</w:t>
      </w:r>
      <w:proofErr w:type="spellEnd"/>
      <w:r w:rsidR="00747D8E" w:rsidRPr="00C012A4">
        <w:rPr>
          <w:sz w:val="24"/>
          <w:szCs w:val="24"/>
        </w:rPr>
        <w:t xml:space="preserve"> parts of the body -- noses and ears, mainly for testing drugs and cosmetics. It also prints cubes enabling researchers to “play” with cells from human organs such as livers</w:t>
      </w:r>
      <w:r w:rsidR="00747D8E" w:rsidRPr="00C012A4">
        <w:rPr>
          <w:sz w:val="28"/>
          <w:szCs w:val="28"/>
        </w:rPr>
        <w:t>.</w:t>
      </w:r>
    </w:p>
    <w:p w:rsidR="00AF5BF7" w:rsidRDefault="00AF5BF7" w:rsidP="00C012A4">
      <w:pPr>
        <w:pStyle w:val="NoSpacing"/>
        <w:jc w:val="both"/>
      </w:pPr>
    </w:p>
    <w:p w:rsidR="002C032E" w:rsidRDefault="002C032E" w:rsidP="00C012A4">
      <w:pPr>
        <w:pStyle w:val="NoSpacing"/>
        <w:jc w:val="both"/>
        <w:rPr>
          <w:b/>
          <w:sz w:val="36"/>
          <w:szCs w:val="36"/>
        </w:rPr>
      </w:pPr>
      <w:r w:rsidRPr="002C032E">
        <w:rPr>
          <w:b/>
          <w:sz w:val="36"/>
          <w:szCs w:val="36"/>
        </w:rPr>
        <w:t>Industry Challenges</w:t>
      </w:r>
    </w:p>
    <w:p w:rsidR="007E7157" w:rsidRDefault="007E7157" w:rsidP="00C012A4">
      <w:pPr>
        <w:pStyle w:val="NoSpacing"/>
        <w:jc w:val="both"/>
        <w:rPr>
          <w:b/>
          <w:sz w:val="36"/>
          <w:szCs w:val="36"/>
        </w:rPr>
      </w:pPr>
    </w:p>
    <w:p w:rsidR="007E7157" w:rsidRDefault="007E7157" w:rsidP="00FE044E">
      <w:pPr>
        <w:pStyle w:val="ListParagraph"/>
        <w:numPr>
          <w:ilvl w:val="0"/>
          <w:numId w:val="23"/>
        </w:numPr>
        <w:spacing w:after="160" w:line="360" w:lineRule="auto"/>
        <w:rPr>
          <w:rFonts w:eastAsiaTheme="minorEastAsia" w:cstheme="minorBidi"/>
          <w:sz w:val="24"/>
          <w:szCs w:val="24"/>
          <w:lang w:eastAsia="ja-JP"/>
        </w:rPr>
      </w:pPr>
      <w:r w:rsidRPr="007E7157">
        <w:rPr>
          <w:rFonts w:eastAsiaTheme="minorEastAsia" w:cstheme="minorBidi"/>
          <w:sz w:val="24"/>
          <w:szCs w:val="24"/>
          <w:lang w:eastAsia="ja-JP"/>
        </w:rPr>
        <w:t>Trump</w:t>
      </w:r>
      <w:r w:rsidR="00B4739E">
        <w:rPr>
          <w:rFonts w:eastAsiaTheme="minorEastAsia" w:cstheme="minorBidi"/>
          <w:sz w:val="24"/>
          <w:szCs w:val="24"/>
          <w:lang w:eastAsia="ja-JP"/>
        </w:rPr>
        <w:t>’s</w:t>
      </w:r>
      <w:r w:rsidRPr="007E7157">
        <w:rPr>
          <w:rFonts w:eastAsiaTheme="minorEastAsia" w:cstheme="minorBidi"/>
          <w:sz w:val="24"/>
          <w:szCs w:val="24"/>
          <w:lang w:eastAsia="ja-JP"/>
        </w:rPr>
        <w:t xml:space="preserve"> administration wants to </w:t>
      </w:r>
      <w:r w:rsidR="00FF0AD2">
        <w:rPr>
          <w:rFonts w:eastAsiaTheme="minorEastAsia" w:cstheme="minorBidi"/>
          <w:sz w:val="24"/>
          <w:szCs w:val="24"/>
          <w:lang w:eastAsia="ja-JP"/>
        </w:rPr>
        <w:t xml:space="preserve">lower the drug prices and have a comprehensive health care system in US. This can have huge impact on the stakeholders. </w:t>
      </w:r>
    </w:p>
    <w:p w:rsidR="009C1F4A" w:rsidRPr="00FF0AD2" w:rsidRDefault="00732488" w:rsidP="00FE044E">
      <w:pPr>
        <w:pStyle w:val="ListParagraph"/>
        <w:numPr>
          <w:ilvl w:val="0"/>
          <w:numId w:val="23"/>
        </w:numPr>
        <w:spacing w:after="160" w:line="360" w:lineRule="auto"/>
        <w:rPr>
          <w:rFonts w:eastAsiaTheme="minorEastAsia" w:cstheme="minorBidi"/>
          <w:sz w:val="24"/>
          <w:szCs w:val="24"/>
          <w:lang w:eastAsia="ja-JP"/>
        </w:rPr>
      </w:pPr>
      <w:r>
        <w:rPr>
          <w:rFonts w:eastAsiaTheme="minorEastAsia" w:cstheme="minorBidi"/>
          <w:sz w:val="24"/>
          <w:szCs w:val="24"/>
          <w:lang w:eastAsia="ja-JP"/>
        </w:rPr>
        <w:t>Company adapting to new strategies and innovation is slow</w:t>
      </w:r>
      <w:r w:rsidR="00B61D6E">
        <w:rPr>
          <w:rFonts w:eastAsiaTheme="minorEastAsia" w:cstheme="minorBidi"/>
          <w:sz w:val="24"/>
          <w:szCs w:val="24"/>
          <w:lang w:eastAsia="ja-JP"/>
        </w:rPr>
        <w:t>ing down.</w:t>
      </w:r>
    </w:p>
    <w:p w:rsidR="007E7157" w:rsidRPr="002943DB" w:rsidRDefault="007E7157" w:rsidP="00FE044E">
      <w:pPr>
        <w:pStyle w:val="ListParagraph"/>
        <w:numPr>
          <w:ilvl w:val="0"/>
          <w:numId w:val="23"/>
        </w:numPr>
        <w:spacing w:after="160" w:line="360" w:lineRule="auto"/>
        <w:rPr>
          <w:rFonts w:eastAsiaTheme="minorEastAsia" w:cstheme="minorBidi"/>
          <w:sz w:val="24"/>
          <w:szCs w:val="24"/>
          <w:lang w:eastAsia="ja-JP"/>
        </w:rPr>
      </w:pPr>
      <w:r w:rsidRPr="002943DB">
        <w:rPr>
          <w:rFonts w:eastAsiaTheme="minorEastAsia" w:cstheme="minorBidi"/>
          <w:sz w:val="24"/>
          <w:szCs w:val="24"/>
          <w:lang w:eastAsia="ja-JP"/>
        </w:rPr>
        <w:t>Smaller companies are eating up market share of big players -  E.g. – Pfizer’s Lyrica – 5.1 billion USD. They are making versions of their own of the drug. They can dethrone Lyrica.</w:t>
      </w:r>
    </w:p>
    <w:p w:rsidR="007E7157" w:rsidRPr="007E7157" w:rsidRDefault="007E7157" w:rsidP="00FE044E">
      <w:pPr>
        <w:pStyle w:val="ListParagraph"/>
        <w:numPr>
          <w:ilvl w:val="0"/>
          <w:numId w:val="23"/>
        </w:numPr>
        <w:spacing w:after="160" w:line="360" w:lineRule="auto"/>
        <w:rPr>
          <w:rFonts w:eastAsiaTheme="minorEastAsia" w:cstheme="minorBidi"/>
          <w:sz w:val="24"/>
          <w:szCs w:val="24"/>
          <w:lang w:eastAsia="ja-JP"/>
        </w:rPr>
      </w:pPr>
      <w:r w:rsidRPr="007E7157">
        <w:rPr>
          <w:rFonts w:eastAsiaTheme="minorEastAsia" w:cstheme="minorBidi"/>
          <w:sz w:val="24"/>
          <w:szCs w:val="24"/>
          <w:lang w:eastAsia="ja-JP"/>
        </w:rPr>
        <w:t xml:space="preserve">Cyber security stealing data from pharma companies to get insider data and to make illegal stock trade. </w:t>
      </w:r>
    </w:p>
    <w:p w:rsidR="007E7157" w:rsidRPr="007E7157" w:rsidRDefault="007E7157" w:rsidP="00FE044E">
      <w:pPr>
        <w:pStyle w:val="ListParagraph"/>
        <w:numPr>
          <w:ilvl w:val="0"/>
          <w:numId w:val="23"/>
        </w:numPr>
        <w:spacing w:after="160" w:line="360" w:lineRule="auto"/>
        <w:rPr>
          <w:rFonts w:eastAsiaTheme="minorEastAsia" w:cstheme="minorBidi"/>
          <w:sz w:val="24"/>
          <w:szCs w:val="24"/>
          <w:lang w:eastAsia="ja-JP"/>
        </w:rPr>
      </w:pPr>
      <w:r w:rsidRPr="007E7157">
        <w:rPr>
          <w:rFonts w:eastAsiaTheme="minorEastAsia" w:cstheme="minorBidi"/>
          <w:sz w:val="24"/>
          <w:szCs w:val="24"/>
          <w:lang w:eastAsia="ja-JP"/>
        </w:rPr>
        <w:t xml:space="preserve">Global anti-corruption. SEC &amp; DOG – pharma as primary violators of the FCPA. FCPA prohibits giving anything of value to foreign official for obtaining business. </w:t>
      </w:r>
    </w:p>
    <w:p w:rsidR="002C032E" w:rsidRDefault="002C032E" w:rsidP="00C012A4">
      <w:pPr>
        <w:pStyle w:val="NoSpacing"/>
        <w:jc w:val="both"/>
        <w:rPr>
          <w:b/>
          <w:sz w:val="36"/>
          <w:szCs w:val="36"/>
        </w:rPr>
      </w:pPr>
    </w:p>
    <w:p w:rsidR="002C032E" w:rsidRDefault="002C032E" w:rsidP="00C012A4">
      <w:pPr>
        <w:pStyle w:val="NoSpacing"/>
        <w:jc w:val="both"/>
        <w:rPr>
          <w:b/>
          <w:sz w:val="36"/>
          <w:szCs w:val="36"/>
        </w:rPr>
      </w:pPr>
      <w:r>
        <w:rPr>
          <w:b/>
          <w:sz w:val="36"/>
          <w:szCs w:val="36"/>
        </w:rPr>
        <w:t>References:</w:t>
      </w:r>
    </w:p>
    <w:p w:rsidR="002C032E" w:rsidRDefault="002C032E" w:rsidP="00C012A4">
      <w:pPr>
        <w:pStyle w:val="NoSpacing"/>
        <w:jc w:val="both"/>
        <w:rPr>
          <w:b/>
          <w:sz w:val="36"/>
          <w:szCs w:val="36"/>
        </w:rPr>
      </w:pPr>
    </w:p>
    <w:p w:rsidR="00C012A4" w:rsidRDefault="0079113F" w:rsidP="00C012A4">
      <w:pPr>
        <w:pStyle w:val="NoSpacing"/>
        <w:numPr>
          <w:ilvl w:val="0"/>
          <w:numId w:val="20"/>
        </w:numPr>
        <w:jc w:val="both"/>
        <w:rPr>
          <w:sz w:val="24"/>
          <w:szCs w:val="24"/>
        </w:rPr>
      </w:pPr>
      <w:hyperlink r:id="rId13" w:history="1">
        <w:r w:rsidR="002C032E" w:rsidRPr="00C012A4">
          <w:rPr>
            <w:rStyle w:val="Hyperlink"/>
            <w:sz w:val="24"/>
            <w:szCs w:val="24"/>
          </w:rPr>
          <w:t>https://www.biopharmatrend.com/post/60-top-7-trends-in-pharmaceutical-research-in-2018-and-beyond/</w:t>
        </w:r>
      </w:hyperlink>
      <w:r w:rsidR="00C012A4" w:rsidRPr="00C012A4">
        <w:rPr>
          <w:sz w:val="24"/>
          <w:szCs w:val="24"/>
        </w:rPr>
        <w:t xml:space="preserve"> </w:t>
      </w:r>
    </w:p>
    <w:p w:rsidR="00734602" w:rsidRPr="00C012A4" w:rsidRDefault="00734602" w:rsidP="00734602">
      <w:pPr>
        <w:pStyle w:val="NoSpacing"/>
        <w:ind w:left="720"/>
        <w:jc w:val="both"/>
        <w:rPr>
          <w:sz w:val="24"/>
          <w:szCs w:val="24"/>
        </w:rPr>
      </w:pPr>
    </w:p>
    <w:p w:rsidR="002C032E" w:rsidRDefault="0079113F" w:rsidP="00C012A4">
      <w:pPr>
        <w:pStyle w:val="NoSpacing"/>
        <w:numPr>
          <w:ilvl w:val="0"/>
          <w:numId w:val="20"/>
        </w:numPr>
        <w:jc w:val="both"/>
        <w:rPr>
          <w:sz w:val="24"/>
          <w:szCs w:val="24"/>
        </w:rPr>
      </w:pPr>
      <w:hyperlink r:id="rId14" w:history="1">
        <w:r w:rsidR="00C012A4" w:rsidRPr="0073459D">
          <w:rPr>
            <w:rStyle w:val="Hyperlink"/>
            <w:sz w:val="24"/>
            <w:szCs w:val="24"/>
          </w:rPr>
          <w:t>https://www.tribecaknowledge.com/blog/7-pharma-trends-for-2017</w:t>
        </w:r>
      </w:hyperlink>
    </w:p>
    <w:p w:rsidR="00734602" w:rsidRDefault="00734602" w:rsidP="00734602">
      <w:pPr>
        <w:pStyle w:val="NoSpacing"/>
        <w:jc w:val="both"/>
        <w:rPr>
          <w:sz w:val="24"/>
          <w:szCs w:val="24"/>
        </w:rPr>
      </w:pPr>
    </w:p>
    <w:p w:rsidR="00C012A4" w:rsidRPr="00734602" w:rsidRDefault="0079113F" w:rsidP="00C012A4">
      <w:pPr>
        <w:pStyle w:val="ListParagraph"/>
        <w:numPr>
          <w:ilvl w:val="0"/>
          <w:numId w:val="20"/>
        </w:numPr>
        <w:autoSpaceDE w:val="0"/>
        <w:autoSpaceDN w:val="0"/>
        <w:spacing w:after="0" w:line="240" w:lineRule="auto"/>
        <w:rPr>
          <w:rStyle w:val="Hyperlink"/>
          <w:color w:val="auto"/>
          <w:u w:val="none"/>
        </w:rPr>
      </w:pPr>
      <w:hyperlink r:id="rId15" w:history="1">
        <w:r w:rsidR="00C012A4" w:rsidRPr="0073459D">
          <w:rPr>
            <w:rStyle w:val="Hyperlink"/>
            <w:rFonts w:eastAsiaTheme="minorEastAsia" w:cstheme="minorBidi"/>
            <w:sz w:val="24"/>
            <w:szCs w:val="24"/>
            <w:lang w:eastAsia="ja-JP"/>
          </w:rPr>
          <w:t>https://www.britannica.com/technology/pharmaceutical-industry</w:t>
        </w:r>
      </w:hyperlink>
    </w:p>
    <w:p w:rsidR="00734602" w:rsidRPr="00734602" w:rsidRDefault="00734602" w:rsidP="00734602">
      <w:pPr>
        <w:autoSpaceDE w:val="0"/>
        <w:autoSpaceDN w:val="0"/>
        <w:spacing w:after="0" w:line="240" w:lineRule="auto"/>
        <w:rPr>
          <w:rStyle w:val="Hyperlink"/>
          <w:color w:val="auto"/>
          <w:u w:val="none"/>
        </w:rPr>
      </w:pPr>
    </w:p>
    <w:p w:rsidR="00C012A4" w:rsidRDefault="00C012A4" w:rsidP="00C012A4">
      <w:pPr>
        <w:pStyle w:val="ListParagraph"/>
        <w:numPr>
          <w:ilvl w:val="0"/>
          <w:numId w:val="20"/>
        </w:numPr>
        <w:autoSpaceDE w:val="0"/>
        <w:autoSpaceDN w:val="0"/>
        <w:spacing w:after="0" w:line="240" w:lineRule="auto"/>
        <w:rPr>
          <w:rStyle w:val="Hyperlink"/>
          <w:rFonts w:eastAsiaTheme="minorEastAsia" w:cstheme="minorBidi"/>
          <w:sz w:val="24"/>
          <w:szCs w:val="24"/>
          <w:lang w:eastAsia="ja-JP"/>
        </w:rPr>
      </w:pPr>
      <w:r w:rsidRPr="007E7157">
        <w:rPr>
          <w:rStyle w:val="Hyperlink"/>
          <w:rFonts w:eastAsiaTheme="minorEastAsia" w:cstheme="minorBidi"/>
          <w:sz w:val="24"/>
          <w:szCs w:val="24"/>
          <w:lang w:eastAsia="ja-JP"/>
        </w:rPr>
        <w:t xml:space="preserve">https://www.owler.com/iaApp/sector/i8_s1/pharamaceuticals-biotechnology/pharmaceuticals.htm </w:t>
      </w:r>
    </w:p>
    <w:p w:rsidR="00734602" w:rsidRPr="00734602" w:rsidRDefault="00734602" w:rsidP="00734602">
      <w:pPr>
        <w:autoSpaceDE w:val="0"/>
        <w:autoSpaceDN w:val="0"/>
        <w:spacing w:after="0" w:line="240" w:lineRule="auto"/>
        <w:rPr>
          <w:rStyle w:val="Hyperlink"/>
          <w:rFonts w:eastAsiaTheme="minorEastAsia" w:cstheme="minorBidi"/>
          <w:sz w:val="24"/>
          <w:szCs w:val="24"/>
          <w:lang w:eastAsia="ja-JP"/>
        </w:rPr>
      </w:pPr>
    </w:p>
    <w:p w:rsidR="00734602" w:rsidRDefault="00734602" w:rsidP="00734602">
      <w:pPr>
        <w:pStyle w:val="ListParagraph"/>
        <w:numPr>
          <w:ilvl w:val="0"/>
          <w:numId w:val="20"/>
        </w:numPr>
        <w:autoSpaceDE w:val="0"/>
        <w:autoSpaceDN w:val="0"/>
        <w:spacing w:after="0" w:line="240" w:lineRule="auto"/>
        <w:rPr>
          <w:rStyle w:val="Hyperlink"/>
          <w:rFonts w:eastAsiaTheme="minorEastAsia" w:cstheme="minorBidi"/>
          <w:sz w:val="24"/>
          <w:szCs w:val="24"/>
          <w:lang w:eastAsia="ja-JP"/>
        </w:rPr>
      </w:pPr>
      <w:r w:rsidRPr="00734602">
        <w:rPr>
          <w:rStyle w:val="Hyperlink"/>
          <w:rFonts w:eastAsiaTheme="minorEastAsia" w:cstheme="minorBidi"/>
          <w:sz w:val="24"/>
          <w:szCs w:val="24"/>
          <w:lang w:eastAsia="ja-JP"/>
        </w:rPr>
        <w:t>https://www.owler.com/iaApp/sector/i8_s1/pharamaceuticals-biotechnology/pharmaceuticals.htm</w:t>
      </w:r>
    </w:p>
    <w:p w:rsidR="00734602" w:rsidRPr="00734602" w:rsidRDefault="00734602" w:rsidP="00734602">
      <w:pPr>
        <w:pStyle w:val="ListParagraph"/>
        <w:autoSpaceDE w:val="0"/>
        <w:autoSpaceDN w:val="0"/>
        <w:spacing w:after="0" w:line="240" w:lineRule="auto"/>
        <w:rPr>
          <w:rStyle w:val="Hyperlink"/>
          <w:rFonts w:eastAsiaTheme="minorEastAsia" w:cstheme="minorBidi"/>
          <w:sz w:val="24"/>
          <w:szCs w:val="24"/>
          <w:lang w:eastAsia="ja-JP"/>
        </w:rPr>
      </w:pPr>
    </w:p>
    <w:p w:rsidR="00734602" w:rsidRDefault="00734602" w:rsidP="00734602">
      <w:pPr>
        <w:pStyle w:val="ListParagraph"/>
        <w:numPr>
          <w:ilvl w:val="0"/>
          <w:numId w:val="20"/>
        </w:numPr>
        <w:autoSpaceDE w:val="0"/>
        <w:autoSpaceDN w:val="0"/>
        <w:spacing w:after="0" w:line="240" w:lineRule="auto"/>
        <w:rPr>
          <w:rStyle w:val="Hyperlink"/>
          <w:rFonts w:eastAsiaTheme="minorEastAsia" w:cstheme="minorBidi"/>
          <w:sz w:val="24"/>
          <w:szCs w:val="24"/>
          <w:lang w:eastAsia="ja-JP"/>
        </w:rPr>
      </w:pPr>
      <w:r w:rsidRPr="00734602">
        <w:rPr>
          <w:rStyle w:val="Hyperlink"/>
          <w:rFonts w:eastAsiaTheme="minorEastAsia" w:cstheme="minorBidi"/>
          <w:sz w:val="24"/>
          <w:szCs w:val="24"/>
          <w:lang w:eastAsia="ja-JP"/>
        </w:rPr>
        <w:t xml:space="preserve">https://dcatvci.org/152-the-top-10-issues-for-the-pharma-industry-in-2017 </w:t>
      </w:r>
    </w:p>
    <w:p w:rsidR="00734602" w:rsidRPr="00734602" w:rsidRDefault="00734602" w:rsidP="00734602">
      <w:pPr>
        <w:autoSpaceDE w:val="0"/>
        <w:autoSpaceDN w:val="0"/>
        <w:spacing w:after="0" w:line="240" w:lineRule="auto"/>
        <w:rPr>
          <w:rStyle w:val="Hyperlink"/>
          <w:rFonts w:eastAsiaTheme="minorEastAsia" w:cstheme="minorBidi"/>
          <w:sz w:val="24"/>
          <w:szCs w:val="24"/>
          <w:lang w:eastAsia="ja-JP"/>
        </w:rPr>
      </w:pPr>
    </w:p>
    <w:p w:rsidR="00AF5BF7" w:rsidRDefault="00734602" w:rsidP="00F8354F">
      <w:pPr>
        <w:pStyle w:val="ListParagraph"/>
        <w:numPr>
          <w:ilvl w:val="0"/>
          <w:numId w:val="20"/>
        </w:numPr>
        <w:autoSpaceDE w:val="0"/>
        <w:autoSpaceDN w:val="0"/>
        <w:spacing w:after="0" w:line="240" w:lineRule="auto"/>
        <w:rPr>
          <w:rStyle w:val="Hyperlink"/>
          <w:rFonts w:eastAsiaTheme="minorEastAsia" w:cstheme="minorBidi"/>
          <w:sz w:val="24"/>
          <w:szCs w:val="24"/>
          <w:lang w:eastAsia="ja-JP"/>
        </w:rPr>
      </w:pPr>
      <w:r w:rsidRPr="00734602">
        <w:rPr>
          <w:rStyle w:val="Hyperlink"/>
          <w:rFonts w:eastAsiaTheme="minorEastAsia" w:cstheme="minorBidi"/>
          <w:sz w:val="24"/>
          <w:szCs w:val="24"/>
          <w:lang w:eastAsia="ja-JP"/>
        </w:rPr>
        <w:t xml:space="preserve">http://www.pharmacompliancemonitor.com/four-risks-pharma-companies-face/9474/ </w:t>
      </w:r>
    </w:p>
    <w:p w:rsidR="00F8354F" w:rsidRPr="00F8354F" w:rsidRDefault="00F8354F" w:rsidP="00F8354F">
      <w:pPr>
        <w:pStyle w:val="ListParagraph"/>
        <w:rPr>
          <w:rFonts w:eastAsiaTheme="minorEastAsia" w:cstheme="minorBidi"/>
          <w:color w:val="0B1F65" w:themeColor="hyperlink"/>
          <w:sz w:val="24"/>
          <w:szCs w:val="24"/>
          <w:u w:val="single"/>
          <w:lang w:eastAsia="ja-JP"/>
        </w:rPr>
      </w:pPr>
    </w:p>
    <w:p w:rsidR="00F8354F" w:rsidRPr="00F8354F" w:rsidRDefault="00F8354F" w:rsidP="00F8354F">
      <w:pPr>
        <w:pStyle w:val="ListParagraph"/>
        <w:numPr>
          <w:ilvl w:val="0"/>
          <w:numId w:val="20"/>
        </w:numPr>
        <w:autoSpaceDE w:val="0"/>
        <w:autoSpaceDN w:val="0"/>
        <w:spacing w:after="0" w:line="240" w:lineRule="auto"/>
        <w:rPr>
          <w:rStyle w:val="Hyperlink"/>
        </w:rPr>
      </w:pPr>
      <w:hyperlink r:id="rId16" w:history="1">
        <w:r w:rsidRPr="00476298">
          <w:rPr>
            <w:rStyle w:val="Hyperlink"/>
            <w:rFonts w:eastAsiaTheme="minorEastAsia" w:cstheme="minorBidi"/>
            <w:sz w:val="24"/>
            <w:szCs w:val="24"/>
            <w:lang w:eastAsia="ja-JP"/>
          </w:rPr>
          <w:t>https://www.icd10monitor.com/the-role-of-payers-and-providers-in-improving-healthcare-data</w:t>
        </w:r>
      </w:hyperlink>
    </w:p>
    <w:p w:rsidR="00F8354F" w:rsidRPr="00F8354F" w:rsidRDefault="00F8354F" w:rsidP="00F8354F">
      <w:pPr>
        <w:pStyle w:val="ListParagraph"/>
        <w:rPr>
          <w:rStyle w:val="Hyperlink"/>
          <w:lang w:eastAsia="ja-JP"/>
        </w:rPr>
      </w:pPr>
    </w:p>
    <w:p w:rsidR="00F8354F" w:rsidRPr="00F8354F" w:rsidRDefault="00F8354F" w:rsidP="00F8354F">
      <w:pPr>
        <w:pStyle w:val="ListParagraph"/>
        <w:numPr>
          <w:ilvl w:val="0"/>
          <w:numId w:val="20"/>
        </w:numPr>
        <w:autoSpaceDE w:val="0"/>
        <w:autoSpaceDN w:val="0"/>
        <w:spacing w:after="0" w:line="240" w:lineRule="auto"/>
        <w:rPr>
          <w:rStyle w:val="Hyperlink"/>
        </w:rPr>
      </w:pPr>
      <w:hyperlink r:id="rId17" w:history="1">
        <w:r w:rsidRPr="00476298">
          <w:rPr>
            <w:rStyle w:val="Hyperlink"/>
            <w:rFonts w:eastAsiaTheme="minorEastAsia" w:cstheme="minorBidi"/>
            <w:sz w:val="24"/>
            <w:szCs w:val="24"/>
            <w:lang w:eastAsia="ja-JP"/>
          </w:rPr>
          <w:t>https://www.sciencedaily.com/terms/pharmaceutical_company.htm</w:t>
        </w:r>
      </w:hyperlink>
    </w:p>
    <w:p w:rsidR="00F8354F" w:rsidRPr="00F8354F" w:rsidRDefault="00F8354F" w:rsidP="00F8354F">
      <w:pPr>
        <w:pStyle w:val="ListParagraph"/>
        <w:rPr>
          <w:rFonts w:eastAsiaTheme="minorEastAsia" w:cstheme="minorBidi"/>
          <w:color w:val="0B1F65" w:themeColor="hyperlink"/>
          <w:sz w:val="24"/>
          <w:szCs w:val="24"/>
          <w:u w:val="single"/>
          <w:lang w:eastAsia="ja-JP"/>
        </w:rPr>
      </w:pPr>
    </w:p>
    <w:p w:rsidR="00F8354F" w:rsidRDefault="007B3010" w:rsidP="007B3010">
      <w:pPr>
        <w:pStyle w:val="ListParagraph"/>
        <w:numPr>
          <w:ilvl w:val="0"/>
          <w:numId w:val="20"/>
        </w:numPr>
        <w:autoSpaceDE w:val="0"/>
        <w:autoSpaceDN w:val="0"/>
        <w:spacing w:after="0" w:line="240" w:lineRule="auto"/>
        <w:rPr>
          <w:rFonts w:eastAsiaTheme="minorEastAsia" w:cstheme="minorBidi"/>
          <w:color w:val="0B1F65" w:themeColor="hyperlink"/>
          <w:sz w:val="24"/>
          <w:szCs w:val="24"/>
          <w:u w:val="single"/>
          <w:lang w:eastAsia="ja-JP"/>
        </w:rPr>
      </w:pPr>
      <w:hyperlink r:id="rId18" w:history="1">
        <w:r w:rsidRPr="00476298">
          <w:rPr>
            <w:rStyle w:val="Hyperlink"/>
            <w:rFonts w:eastAsiaTheme="minorEastAsia" w:cstheme="minorBidi"/>
            <w:sz w:val="24"/>
            <w:szCs w:val="24"/>
            <w:lang w:eastAsia="ja-JP"/>
          </w:rPr>
          <w:t>https://www.igeahub.com/2018/03/06/top-10-pharmaceutical-companies-2018/</w:t>
        </w:r>
      </w:hyperlink>
    </w:p>
    <w:p w:rsidR="007B3010" w:rsidRPr="007B3010" w:rsidRDefault="007B3010" w:rsidP="007B3010">
      <w:pPr>
        <w:pStyle w:val="ListParagraph"/>
        <w:rPr>
          <w:rFonts w:eastAsiaTheme="minorEastAsia" w:cstheme="minorBidi"/>
          <w:color w:val="0B1F65" w:themeColor="hyperlink"/>
          <w:sz w:val="24"/>
          <w:szCs w:val="24"/>
          <w:u w:val="single"/>
          <w:lang w:eastAsia="ja-JP"/>
        </w:rPr>
      </w:pPr>
    </w:p>
    <w:p w:rsidR="007B3010" w:rsidRDefault="007B3010" w:rsidP="007B3010">
      <w:pPr>
        <w:pStyle w:val="ListParagraph"/>
        <w:numPr>
          <w:ilvl w:val="0"/>
          <w:numId w:val="20"/>
        </w:numPr>
        <w:autoSpaceDE w:val="0"/>
        <w:autoSpaceDN w:val="0"/>
        <w:spacing w:after="0" w:line="240" w:lineRule="auto"/>
        <w:rPr>
          <w:rFonts w:eastAsiaTheme="minorEastAsia" w:cstheme="minorBidi"/>
          <w:color w:val="0B1F65" w:themeColor="hyperlink"/>
          <w:sz w:val="24"/>
          <w:szCs w:val="24"/>
          <w:u w:val="single"/>
          <w:lang w:eastAsia="ja-JP"/>
        </w:rPr>
      </w:pPr>
      <w:hyperlink r:id="rId19" w:history="1">
        <w:r w:rsidRPr="00476298">
          <w:rPr>
            <w:rStyle w:val="Hyperlink"/>
            <w:rFonts w:eastAsiaTheme="minorEastAsia" w:cstheme="minorBidi"/>
            <w:sz w:val="24"/>
            <w:szCs w:val="24"/>
            <w:lang w:eastAsia="ja-JP"/>
          </w:rPr>
          <w:t>https://www.marketwatch.com/story/pfizer-will-reorganize-into-three-internal-divisions-2018-07-11</w:t>
        </w:r>
      </w:hyperlink>
    </w:p>
    <w:p w:rsidR="007B3010" w:rsidRPr="007B3010" w:rsidRDefault="007B3010" w:rsidP="007B3010">
      <w:pPr>
        <w:pStyle w:val="ListParagraph"/>
        <w:rPr>
          <w:rFonts w:eastAsiaTheme="minorEastAsia" w:cstheme="minorBidi"/>
          <w:color w:val="0B1F65" w:themeColor="hyperlink"/>
          <w:sz w:val="24"/>
          <w:szCs w:val="24"/>
          <w:u w:val="single"/>
          <w:lang w:eastAsia="ja-JP"/>
        </w:rPr>
      </w:pPr>
    </w:p>
    <w:p w:rsidR="007B3010" w:rsidRDefault="007B3010" w:rsidP="007B3010">
      <w:pPr>
        <w:pStyle w:val="ListParagraph"/>
        <w:numPr>
          <w:ilvl w:val="0"/>
          <w:numId w:val="20"/>
        </w:numPr>
        <w:autoSpaceDE w:val="0"/>
        <w:autoSpaceDN w:val="0"/>
        <w:spacing w:after="0" w:line="240" w:lineRule="auto"/>
        <w:rPr>
          <w:rFonts w:eastAsiaTheme="minorEastAsia" w:cstheme="minorBidi"/>
          <w:color w:val="0B1F65" w:themeColor="hyperlink"/>
          <w:sz w:val="24"/>
          <w:szCs w:val="24"/>
          <w:u w:val="single"/>
          <w:lang w:eastAsia="ja-JP"/>
        </w:rPr>
      </w:pPr>
      <w:hyperlink r:id="rId20" w:history="1">
        <w:r w:rsidRPr="00476298">
          <w:rPr>
            <w:rStyle w:val="Hyperlink"/>
            <w:rFonts w:eastAsiaTheme="minorEastAsia" w:cstheme="minorBidi"/>
            <w:sz w:val="24"/>
            <w:szCs w:val="24"/>
            <w:lang w:eastAsia="ja-JP"/>
          </w:rPr>
          <w:t>https://www.gsk.com/en-gb/about-us/</w:t>
        </w:r>
      </w:hyperlink>
    </w:p>
    <w:p w:rsidR="007B3010" w:rsidRPr="007B3010" w:rsidRDefault="007B3010" w:rsidP="007B3010">
      <w:pPr>
        <w:pStyle w:val="ListParagraph"/>
        <w:rPr>
          <w:rFonts w:eastAsiaTheme="minorEastAsia" w:cstheme="minorBidi"/>
          <w:color w:val="0B1F65" w:themeColor="hyperlink"/>
          <w:sz w:val="24"/>
          <w:szCs w:val="24"/>
          <w:u w:val="single"/>
          <w:lang w:eastAsia="ja-JP"/>
        </w:rPr>
      </w:pPr>
    </w:p>
    <w:p w:rsidR="007B3010" w:rsidRDefault="007B3010" w:rsidP="007B3010">
      <w:pPr>
        <w:pStyle w:val="ListParagraph"/>
        <w:numPr>
          <w:ilvl w:val="0"/>
          <w:numId w:val="20"/>
        </w:numPr>
        <w:autoSpaceDE w:val="0"/>
        <w:autoSpaceDN w:val="0"/>
        <w:spacing w:after="0" w:line="240" w:lineRule="auto"/>
        <w:rPr>
          <w:rFonts w:eastAsiaTheme="minorEastAsia" w:cstheme="minorBidi"/>
          <w:color w:val="0B1F65" w:themeColor="hyperlink"/>
          <w:sz w:val="24"/>
          <w:szCs w:val="24"/>
          <w:u w:val="single"/>
          <w:lang w:eastAsia="ja-JP"/>
        </w:rPr>
      </w:pPr>
      <w:hyperlink r:id="rId21" w:history="1">
        <w:r w:rsidRPr="00476298">
          <w:rPr>
            <w:rStyle w:val="Hyperlink"/>
            <w:rFonts w:eastAsiaTheme="minorEastAsia" w:cstheme="minorBidi"/>
            <w:sz w:val="24"/>
            <w:szCs w:val="24"/>
            <w:lang w:eastAsia="ja-JP"/>
          </w:rPr>
          <w:t>https://en.wikipedia.org/wiki/Pharmaceutical_industry</w:t>
        </w:r>
      </w:hyperlink>
    </w:p>
    <w:p w:rsidR="007B3010" w:rsidRPr="007B3010" w:rsidRDefault="007B3010" w:rsidP="007B3010">
      <w:pPr>
        <w:pStyle w:val="ListParagraph"/>
        <w:rPr>
          <w:rFonts w:eastAsiaTheme="minorEastAsia" w:cstheme="minorBidi"/>
          <w:color w:val="0B1F65" w:themeColor="hyperlink"/>
          <w:sz w:val="24"/>
          <w:szCs w:val="24"/>
          <w:u w:val="single"/>
          <w:lang w:eastAsia="ja-JP"/>
        </w:rPr>
      </w:pPr>
    </w:p>
    <w:p w:rsidR="007B3010" w:rsidRDefault="007B3010" w:rsidP="007B3010">
      <w:pPr>
        <w:pStyle w:val="ListParagraph"/>
        <w:numPr>
          <w:ilvl w:val="0"/>
          <w:numId w:val="20"/>
        </w:numPr>
        <w:autoSpaceDE w:val="0"/>
        <w:autoSpaceDN w:val="0"/>
        <w:spacing w:after="0" w:line="240" w:lineRule="auto"/>
        <w:rPr>
          <w:rFonts w:eastAsiaTheme="minorEastAsia" w:cstheme="minorBidi"/>
          <w:color w:val="0B1F65" w:themeColor="hyperlink"/>
          <w:sz w:val="24"/>
          <w:szCs w:val="24"/>
          <w:u w:val="single"/>
          <w:lang w:eastAsia="ja-JP"/>
        </w:rPr>
      </w:pPr>
      <w:hyperlink r:id="rId22" w:history="1">
        <w:r w:rsidRPr="00476298">
          <w:rPr>
            <w:rStyle w:val="Hyperlink"/>
            <w:rFonts w:eastAsiaTheme="minorEastAsia" w:cstheme="minorBidi"/>
            <w:sz w:val="24"/>
            <w:szCs w:val="24"/>
            <w:lang w:eastAsia="ja-JP"/>
          </w:rPr>
          <w:t>https://ldi.upenn.edu/sites/default/files/sumr_docs/Defining%20Pharmaceutical%20Value%20Across%20Stakeholders_Sharonya%20Vadakattu.pdf</w:t>
        </w:r>
      </w:hyperlink>
    </w:p>
    <w:p w:rsidR="007B3010" w:rsidRPr="007B3010" w:rsidRDefault="007B3010" w:rsidP="007B3010">
      <w:pPr>
        <w:pStyle w:val="ListParagraph"/>
        <w:rPr>
          <w:rFonts w:eastAsiaTheme="minorEastAsia" w:cstheme="minorBidi"/>
          <w:color w:val="0B1F65" w:themeColor="hyperlink"/>
          <w:sz w:val="24"/>
          <w:szCs w:val="24"/>
          <w:u w:val="single"/>
          <w:lang w:eastAsia="ja-JP"/>
        </w:rPr>
      </w:pPr>
    </w:p>
    <w:p w:rsidR="00AF5BF7" w:rsidRPr="00B61D6E" w:rsidRDefault="007B3010" w:rsidP="00B61D6E">
      <w:pPr>
        <w:pStyle w:val="ListParagraph"/>
        <w:numPr>
          <w:ilvl w:val="0"/>
          <w:numId w:val="20"/>
        </w:numPr>
        <w:autoSpaceDE w:val="0"/>
        <w:autoSpaceDN w:val="0"/>
        <w:spacing w:after="0" w:line="240" w:lineRule="auto"/>
        <w:rPr>
          <w:rFonts w:eastAsiaTheme="minorEastAsia" w:cstheme="minorBidi"/>
          <w:color w:val="0B1F65" w:themeColor="hyperlink"/>
          <w:sz w:val="24"/>
          <w:szCs w:val="24"/>
          <w:u w:val="single"/>
          <w:lang w:eastAsia="ja-JP"/>
        </w:rPr>
      </w:pPr>
      <w:r w:rsidRPr="007B3010">
        <w:rPr>
          <w:rFonts w:eastAsiaTheme="minorEastAsia" w:cstheme="minorBidi"/>
          <w:color w:val="0B1F65" w:themeColor="hyperlink"/>
          <w:sz w:val="24"/>
          <w:szCs w:val="24"/>
          <w:u w:val="single"/>
          <w:lang w:eastAsia="ja-JP"/>
        </w:rPr>
        <w:t>http://www.pharmatimes.com/magazine/2018/march_2018/the_pharma_fast_50</w:t>
      </w:r>
      <w:bookmarkStart w:id="0" w:name="_GoBack"/>
      <w:bookmarkEnd w:id="0"/>
    </w:p>
    <w:sectPr w:rsidR="00AF5BF7" w:rsidRPr="00B61D6E" w:rsidSect="00AD4D3E">
      <w:headerReference w:type="default" r:id="rId23"/>
      <w:footerReference w:type="default" r:id="rId24"/>
      <w:headerReference w:type="first" r:id="rId25"/>
      <w:footerReference w:type="first" r:id="rId26"/>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C5F" w:rsidRDefault="007E1C5F" w:rsidP="00047BC6">
      <w:pPr>
        <w:spacing w:after="0" w:line="240" w:lineRule="auto"/>
      </w:pPr>
      <w:r>
        <w:separator/>
      </w:r>
    </w:p>
  </w:endnote>
  <w:endnote w:type="continuationSeparator" w:id="0">
    <w:p w:rsidR="007E1C5F" w:rsidRDefault="007E1C5F" w:rsidP="0004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3F" w:rsidRPr="00604109" w:rsidRDefault="0079113F" w:rsidP="00604109">
    <w:pPr>
      <w:pStyle w:val="Header"/>
      <w:rPr>
        <w:rFonts w:ascii="Calibri" w:hAnsi="Calibri" w:cs="Calibri"/>
        <w:i/>
        <w:iCs/>
        <w:color w:val="800000" w:themeColor="accent1"/>
        <w:sz w:val="20"/>
      </w:rPr>
    </w:pPr>
    <w:r w:rsidRPr="00604109">
      <w:rPr>
        <w:rFonts w:ascii="Calibri" w:hAnsi="Calibri" w:cs="Calibri"/>
        <w:noProof/>
        <w:color w:val="800000" w:themeColor="accent1"/>
      </w:rPr>
      <mc:AlternateContent>
        <mc:Choice Requires="wps">
          <w:drawing>
            <wp:anchor distT="0" distB="0" distL="114300" distR="114300" simplePos="0" relativeHeight="251660800" behindDoc="0" locked="0" layoutInCell="1" allowOverlap="1" wp14:anchorId="076CC8FF" wp14:editId="73679EC6">
              <wp:simplePos x="0" y="0"/>
              <wp:positionH relativeFrom="column">
                <wp:posOffset>9525</wp:posOffset>
              </wp:positionH>
              <wp:positionV relativeFrom="paragraph">
                <wp:posOffset>132715</wp:posOffset>
              </wp:positionV>
              <wp:extent cx="5733288" cy="0"/>
              <wp:effectExtent l="0" t="0" r="20320" b="19050"/>
              <wp:wrapNone/>
              <wp:docPr id="3" name="Straight Connector 3"/>
              <wp:cNvGraphicFramePr/>
              <a:graphic xmlns:a="http://schemas.openxmlformats.org/drawingml/2006/main">
                <a:graphicData uri="http://schemas.microsoft.com/office/word/2010/wordprocessingShape">
                  <wps:wsp>
                    <wps:cNvCnPr/>
                    <wps:spPr bwMode="auto">
                      <a:xfrm>
                        <a:off x="0" y="0"/>
                        <a:ext cx="5733288"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w:pict>
            <v:line w14:anchorId="542E4012" id="Straight Connector 3"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0.45pt" to="452.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" strokecolor="maroon [3204]" strokeweight="1.5pt"/>
          </w:pict>
        </mc:Fallback>
      </mc:AlternateContent>
    </w:r>
    <w:r w:rsidRPr="00604109">
      <w:rPr>
        <w:rFonts w:ascii="Calibri" w:hAnsi="Calibri" w:cs="Calibri"/>
        <w:i/>
        <w:iCs/>
        <w:color w:val="800000" w:themeColor="accent1"/>
        <w:sz w:val="20"/>
      </w:rPr>
      <w:t xml:space="preserve">                                                                                                                             </w:t>
    </w:r>
  </w:p>
  <w:p w:rsidR="0079113F" w:rsidRPr="00604109" w:rsidRDefault="0079113F" w:rsidP="00604109">
    <w:pPr>
      <w:pStyle w:val="Header"/>
      <w:tabs>
        <w:tab w:val="clear" w:pos="9360"/>
        <w:tab w:val="right" w:pos="9600"/>
      </w:tabs>
      <w:ind w:right="-200"/>
      <w:rPr>
        <w:rFonts w:ascii="Calibri" w:hAnsi="Calibri" w:cs="Calibri"/>
        <w:color w:val="800000" w:themeColor="accent1"/>
      </w:rPr>
    </w:pPr>
    <w:r w:rsidRPr="00604109">
      <w:rPr>
        <w:rFonts w:ascii="Calibri" w:hAnsi="Calibri" w:cs="Calibri"/>
        <w:i/>
        <w:iCs/>
        <w:color w:val="800000" w:themeColor="accent1"/>
      </w:rPr>
      <w:t>Mu Sigma Confidential</w:t>
    </w:r>
    <w:sdt>
      <w:sdtPr>
        <w:rPr>
          <w:rFonts w:ascii="Calibri" w:hAnsi="Calibri" w:cs="Calibri"/>
          <w:color w:val="800000" w:themeColor="accent1"/>
        </w:rPr>
        <w:id w:val="1463145980"/>
        <w:docPartObj>
          <w:docPartGallery w:val="Page Numbers (Bottom of Page)"/>
          <w:docPartUnique/>
        </w:docPartObj>
      </w:sdtPr>
      <w:sdtEndPr>
        <w:rPr>
          <w:noProof/>
        </w:rPr>
      </w:sdtEndPr>
      <w:sdtContent>
        <w:r w:rsidRPr="00604109">
          <w:rPr>
            <w:rFonts w:ascii="Calibri" w:hAnsi="Calibri" w:cs="Calibri"/>
            <w:color w:val="800000" w:themeColor="accent1"/>
          </w:rPr>
          <w:tab/>
        </w:r>
        <w:r w:rsidRPr="00604109">
          <w:rPr>
            <w:rFonts w:ascii="Calibri" w:hAnsi="Calibri" w:cs="Calibri"/>
            <w:color w:val="800000" w:themeColor="accent1"/>
          </w:rPr>
          <w:fldChar w:fldCharType="begin"/>
        </w:r>
        <w:r w:rsidRPr="00604109">
          <w:rPr>
            <w:rFonts w:ascii="Calibri" w:hAnsi="Calibri" w:cs="Calibri"/>
            <w:color w:val="800000" w:themeColor="accent1"/>
          </w:rPr>
          <w:instrText xml:space="preserve"> PAGE   \* MERGEFORMAT </w:instrText>
        </w:r>
        <w:r w:rsidRPr="00604109">
          <w:rPr>
            <w:rFonts w:ascii="Calibri" w:hAnsi="Calibri" w:cs="Calibri"/>
            <w:color w:val="800000" w:themeColor="accent1"/>
          </w:rPr>
          <w:fldChar w:fldCharType="separate"/>
        </w:r>
        <w:r w:rsidR="0068221A">
          <w:rPr>
            <w:rFonts w:ascii="Calibri" w:hAnsi="Calibri" w:cs="Calibri"/>
            <w:noProof/>
            <w:color w:val="800000" w:themeColor="accent1"/>
          </w:rPr>
          <w:t>7</w:t>
        </w:r>
        <w:r w:rsidRPr="00604109">
          <w:rPr>
            <w:rFonts w:ascii="Calibri" w:hAnsi="Calibri" w:cs="Calibri"/>
            <w:noProof/>
            <w:color w:val="800000" w:themeColor="accent1"/>
          </w:rPr>
          <w:fldChar w:fldCharType="end"/>
        </w:r>
      </w:sdtContent>
    </w:sdt>
  </w:p>
  <w:p w:rsidR="0079113F" w:rsidRPr="00604109" w:rsidRDefault="0079113F" w:rsidP="00604109">
    <w:pPr>
      <w:pStyle w:val="Header"/>
      <w:tabs>
        <w:tab w:val="clear" w:pos="9360"/>
        <w:tab w:val="right" w:pos="9600"/>
      </w:tabs>
      <w:ind w:right="-200"/>
      <w:rPr>
        <w:rFonts w:ascii="Calibri" w:hAnsi="Calibri" w:cs="Calibri"/>
        <w:i/>
        <w:color w:val="800000"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3F" w:rsidRPr="00604109" w:rsidRDefault="0079113F" w:rsidP="00604109">
    <w:pPr>
      <w:pStyle w:val="Header"/>
      <w:rPr>
        <w:rFonts w:ascii="Calibri" w:hAnsi="Calibri" w:cs="Calibri"/>
        <w:i/>
        <w:iCs/>
        <w:color w:val="800000" w:themeColor="accent1"/>
        <w:sz w:val="20"/>
      </w:rPr>
    </w:pPr>
    <w:r w:rsidRPr="00604109">
      <w:rPr>
        <w:rFonts w:ascii="Calibri" w:hAnsi="Calibri" w:cs="Calibri"/>
        <w:noProof/>
        <w:color w:val="800000" w:themeColor="accent1"/>
      </w:rPr>
      <mc:AlternateContent>
        <mc:Choice Requires="wps">
          <w:drawing>
            <wp:anchor distT="0" distB="0" distL="114300" distR="114300" simplePos="0" relativeHeight="251665920" behindDoc="0" locked="0" layoutInCell="1" allowOverlap="1" wp14:anchorId="076CC8FF" wp14:editId="73679EC6">
              <wp:simplePos x="0" y="0"/>
              <wp:positionH relativeFrom="column">
                <wp:posOffset>9525</wp:posOffset>
              </wp:positionH>
              <wp:positionV relativeFrom="paragraph">
                <wp:posOffset>132715</wp:posOffset>
              </wp:positionV>
              <wp:extent cx="5733288" cy="0"/>
              <wp:effectExtent l="0" t="0" r="20320" b="19050"/>
              <wp:wrapNone/>
              <wp:docPr id="6" name="Straight Connector 6"/>
              <wp:cNvGraphicFramePr/>
              <a:graphic xmlns:a="http://schemas.openxmlformats.org/drawingml/2006/main">
                <a:graphicData uri="http://schemas.microsoft.com/office/word/2010/wordprocessingShape">
                  <wps:wsp>
                    <wps:cNvCnPr/>
                    <wps:spPr bwMode="auto">
                      <a:xfrm>
                        <a:off x="0" y="0"/>
                        <a:ext cx="5733288"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w:pict>
            <v:line w14:anchorId="1F344CBE" id="Straight Connector 6"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0.45pt" to="452.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" strokecolor="maroon [3204]" strokeweight="1.5pt"/>
          </w:pict>
        </mc:Fallback>
      </mc:AlternateContent>
    </w:r>
    <w:r w:rsidRPr="00604109">
      <w:rPr>
        <w:rFonts w:ascii="Calibri" w:hAnsi="Calibri" w:cs="Calibri"/>
        <w:i/>
        <w:iCs/>
        <w:color w:val="800000" w:themeColor="accent1"/>
        <w:sz w:val="20"/>
      </w:rPr>
      <w:t xml:space="preserve">                                                                                                                             </w:t>
    </w:r>
  </w:p>
  <w:p w:rsidR="0079113F" w:rsidRPr="00604109" w:rsidRDefault="0079113F" w:rsidP="00604109">
    <w:pPr>
      <w:pStyle w:val="Header"/>
      <w:tabs>
        <w:tab w:val="clear" w:pos="9360"/>
        <w:tab w:val="right" w:pos="9600"/>
      </w:tabs>
      <w:ind w:right="-200"/>
      <w:rPr>
        <w:rFonts w:ascii="Calibri" w:hAnsi="Calibri" w:cs="Calibri"/>
        <w:color w:val="800000" w:themeColor="accent1"/>
      </w:rPr>
    </w:pPr>
    <w:r w:rsidRPr="00604109">
      <w:rPr>
        <w:rFonts w:ascii="Calibri" w:hAnsi="Calibri" w:cs="Calibri"/>
        <w:i/>
        <w:iCs/>
        <w:color w:val="800000" w:themeColor="accent1"/>
      </w:rPr>
      <w:t>Mu Sigma Confidential</w:t>
    </w:r>
    <w:sdt>
      <w:sdtPr>
        <w:rPr>
          <w:rFonts w:ascii="Calibri" w:hAnsi="Calibri" w:cs="Calibri"/>
          <w:color w:val="800000" w:themeColor="accent1"/>
        </w:rPr>
        <w:id w:val="-93404061"/>
        <w:docPartObj>
          <w:docPartGallery w:val="Page Numbers (Bottom of Page)"/>
          <w:docPartUnique/>
        </w:docPartObj>
      </w:sdtPr>
      <w:sdtEndPr>
        <w:rPr>
          <w:noProof/>
        </w:rPr>
      </w:sdtEndPr>
      <w:sdtContent>
        <w:r w:rsidRPr="00604109">
          <w:rPr>
            <w:rFonts w:ascii="Calibri" w:hAnsi="Calibri" w:cs="Calibri"/>
            <w:color w:val="800000" w:themeColor="accent1"/>
          </w:rPr>
          <w:tab/>
        </w:r>
        <w:r w:rsidRPr="00604109">
          <w:rPr>
            <w:rFonts w:ascii="Calibri" w:hAnsi="Calibri" w:cs="Calibri"/>
            <w:color w:val="800000" w:themeColor="accent1"/>
          </w:rPr>
          <w:fldChar w:fldCharType="begin"/>
        </w:r>
        <w:r w:rsidRPr="00604109">
          <w:rPr>
            <w:rFonts w:ascii="Calibri" w:hAnsi="Calibri" w:cs="Calibri"/>
            <w:color w:val="800000" w:themeColor="accent1"/>
          </w:rPr>
          <w:instrText xml:space="preserve"> PAGE   \* MERGEFORMAT </w:instrText>
        </w:r>
        <w:r w:rsidRPr="00604109">
          <w:rPr>
            <w:rFonts w:ascii="Calibri" w:hAnsi="Calibri" w:cs="Calibri"/>
            <w:color w:val="800000" w:themeColor="accent1"/>
          </w:rPr>
          <w:fldChar w:fldCharType="separate"/>
        </w:r>
        <w:r w:rsidR="0068221A">
          <w:rPr>
            <w:rFonts w:ascii="Calibri" w:hAnsi="Calibri" w:cs="Calibri"/>
            <w:noProof/>
            <w:color w:val="800000" w:themeColor="accent1"/>
          </w:rPr>
          <w:t>0</w:t>
        </w:r>
        <w:r w:rsidRPr="00604109">
          <w:rPr>
            <w:rFonts w:ascii="Calibri" w:hAnsi="Calibri" w:cs="Calibri"/>
            <w:noProof/>
            <w:color w:val="800000" w:themeColor="accent1"/>
          </w:rPr>
          <w:fldChar w:fldCharType="end"/>
        </w:r>
      </w:sdtContent>
    </w:sdt>
  </w:p>
  <w:p w:rsidR="0079113F" w:rsidRPr="00604109" w:rsidRDefault="0079113F" w:rsidP="00604109">
    <w:pPr>
      <w:pStyle w:val="Header"/>
      <w:tabs>
        <w:tab w:val="clear" w:pos="9360"/>
        <w:tab w:val="right" w:pos="9600"/>
      </w:tabs>
      <w:ind w:right="-200"/>
      <w:rPr>
        <w:rFonts w:ascii="Calibri" w:hAnsi="Calibri" w:cs="Calibri"/>
        <w:i/>
        <w:color w:val="800000" w:themeColor="accent1"/>
      </w:rPr>
    </w:pPr>
  </w:p>
  <w:p w:rsidR="0079113F" w:rsidRDefault="00791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C5F" w:rsidRDefault="007E1C5F" w:rsidP="00047BC6">
      <w:pPr>
        <w:spacing w:after="0" w:line="240" w:lineRule="auto"/>
      </w:pPr>
      <w:r>
        <w:separator/>
      </w:r>
    </w:p>
  </w:footnote>
  <w:footnote w:type="continuationSeparator" w:id="0">
    <w:p w:rsidR="007E1C5F" w:rsidRDefault="007E1C5F" w:rsidP="00047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3F" w:rsidRDefault="0079113F" w:rsidP="00047BC6">
    <w:pPr>
      <w:pStyle w:val="Header"/>
      <w:tabs>
        <w:tab w:val="clear" w:pos="9360"/>
        <w:tab w:val="right" w:pos="9400"/>
      </w:tabs>
    </w:pPr>
    <w:r>
      <w:rPr>
        <w:noProof/>
      </w:rPr>
      <w:drawing>
        <wp:anchor distT="0" distB="0" distL="114300" distR="114300" simplePos="0" relativeHeight="251655680" behindDoc="1" locked="0" layoutInCell="1" allowOverlap="1" wp14:anchorId="77A18C9F" wp14:editId="0B9CA4CE">
          <wp:simplePos x="0" y="0"/>
          <wp:positionH relativeFrom="column">
            <wp:posOffset>5262576</wp:posOffset>
          </wp:positionH>
          <wp:positionV relativeFrom="paragraph">
            <wp:posOffset>-86360</wp:posOffset>
          </wp:positionV>
          <wp:extent cx="487680" cy="4572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gma logo.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87680" cy="4572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113F" w:rsidRDefault="0079113F" w:rsidP="00604109">
    <w:pPr>
      <w:pStyle w:val="Header"/>
      <w:tabs>
        <w:tab w:val="clear" w:pos="9360"/>
        <w:tab w:val="right" w:pos="9027"/>
      </w:tabs>
      <w:rPr>
        <w:rFonts w:ascii="Arial" w:hAnsi="Arial" w:cs="Arial"/>
        <w:i/>
        <w:iCs/>
        <w:sz w:val="20"/>
      </w:rPr>
    </w:pPr>
    <w:r>
      <w:rPr>
        <w:rFonts w:ascii="Arial" w:hAnsi="Arial" w:cs="Arial"/>
        <w:i/>
        <w:iCs/>
        <w:sz w:val="20"/>
      </w:rPr>
      <w:t xml:space="preserve">                                                                                                                             </w:t>
    </w:r>
    <w:r>
      <w:rPr>
        <w:rFonts w:ascii="Arial" w:hAnsi="Arial" w:cs="Arial"/>
        <w:i/>
        <w:iCs/>
        <w:sz w:val="20"/>
      </w:rPr>
      <w:tab/>
    </w:r>
  </w:p>
  <w:p w:rsidR="00781313" w:rsidRPr="001E33DB" w:rsidRDefault="00781313" w:rsidP="00047BC6">
    <w:pPr>
      <w:pStyle w:val="Header"/>
      <w:tabs>
        <w:tab w:val="clear" w:pos="9360"/>
        <w:tab w:val="right" w:pos="9600"/>
      </w:tabs>
      <w:ind w:right="-200"/>
      <w:rPr>
        <w:rFonts w:ascii="Calibri" w:hAnsi="Calibri" w:cs="Calibri"/>
        <w:color w:val="800000"/>
      </w:rPr>
    </w:pPr>
    <w:r>
      <w:rPr>
        <w:rFonts w:ascii="Calibri" w:hAnsi="Calibri" w:cs="Calibri"/>
        <w:color w:val="800000"/>
      </w:rPr>
      <w:t>Vertical Write-up</w:t>
    </w:r>
  </w:p>
  <w:p w:rsidR="0079113F" w:rsidRDefault="0079113F">
    <w:pPr>
      <w:pStyle w:val="Header"/>
    </w:pPr>
    <w:r>
      <w:rPr>
        <w:noProof/>
      </w:rPr>
      <mc:AlternateContent>
        <mc:Choice Requires="wps">
          <w:drawing>
            <wp:anchor distT="0" distB="0" distL="114300" distR="114300" simplePos="0" relativeHeight="251658752" behindDoc="0" locked="0" layoutInCell="1" allowOverlap="1" wp14:anchorId="136B1BD3" wp14:editId="0F172ED8">
              <wp:simplePos x="0" y="0"/>
              <wp:positionH relativeFrom="column">
                <wp:posOffset>9525</wp:posOffset>
              </wp:positionH>
              <wp:positionV relativeFrom="paragraph">
                <wp:posOffset>33020</wp:posOffset>
              </wp:positionV>
              <wp:extent cx="5732780" cy="0"/>
              <wp:effectExtent l="0" t="0" r="20320" b="19050"/>
              <wp:wrapNone/>
              <wp:docPr id="2" name="Straight Connector 2"/>
              <wp:cNvGraphicFramePr/>
              <a:graphic xmlns:a="http://schemas.openxmlformats.org/drawingml/2006/main">
                <a:graphicData uri="http://schemas.microsoft.com/office/word/2010/wordprocessingShape">
                  <wps:wsp>
                    <wps:cNvCnPr/>
                    <wps:spPr bwMode="auto">
                      <a:xfrm>
                        <a:off x="0" y="0"/>
                        <a:ext cx="5732780"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w:pict>
            <v:line w14:anchorId="76513489"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6pt" to="452.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" strokecolor="maroon [3204]"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3F" w:rsidRDefault="0079113F" w:rsidP="00AF5BF7">
    <w:pPr>
      <w:pStyle w:val="Header"/>
      <w:tabs>
        <w:tab w:val="clear" w:pos="9360"/>
        <w:tab w:val="right" w:pos="9400"/>
      </w:tabs>
    </w:pPr>
    <w:r>
      <w:rPr>
        <w:noProof/>
      </w:rPr>
      <w:drawing>
        <wp:anchor distT="0" distB="0" distL="114300" distR="114300" simplePos="0" relativeHeight="251662848" behindDoc="1" locked="0" layoutInCell="1" allowOverlap="1" wp14:anchorId="77255745" wp14:editId="6E91D724">
          <wp:simplePos x="0" y="0"/>
          <wp:positionH relativeFrom="column">
            <wp:posOffset>5262576</wp:posOffset>
          </wp:positionH>
          <wp:positionV relativeFrom="paragraph">
            <wp:posOffset>-86360</wp:posOffset>
          </wp:positionV>
          <wp:extent cx="487680" cy="4572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gma logo.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87680" cy="4572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113F" w:rsidRDefault="0079113F" w:rsidP="00AF5BF7">
    <w:pPr>
      <w:pStyle w:val="Header"/>
      <w:tabs>
        <w:tab w:val="clear" w:pos="9360"/>
        <w:tab w:val="right" w:pos="9027"/>
      </w:tabs>
      <w:rPr>
        <w:rFonts w:ascii="Arial" w:hAnsi="Arial" w:cs="Arial"/>
        <w:i/>
        <w:iCs/>
        <w:sz w:val="20"/>
      </w:rPr>
    </w:pPr>
    <w:r>
      <w:rPr>
        <w:rFonts w:ascii="Arial" w:hAnsi="Arial" w:cs="Arial"/>
        <w:i/>
        <w:iCs/>
        <w:sz w:val="20"/>
      </w:rPr>
      <w:t xml:space="preserve">                                                                                                                             </w:t>
    </w:r>
    <w:r>
      <w:rPr>
        <w:rFonts w:ascii="Arial" w:hAnsi="Arial" w:cs="Arial"/>
        <w:i/>
        <w:iCs/>
        <w:sz w:val="20"/>
      </w:rPr>
      <w:tab/>
    </w:r>
  </w:p>
  <w:p w:rsidR="0079113F" w:rsidRPr="001E33DB" w:rsidRDefault="000C0F5B" w:rsidP="00AF5BF7">
    <w:pPr>
      <w:pStyle w:val="Header"/>
      <w:tabs>
        <w:tab w:val="clear" w:pos="9360"/>
        <w:tab w:val="right" w:pos="9600"/>
      </w:tabs>
      <w:ind w:right="-200"/>
      <w:rPr>
        <w:rFonts w:ascii="Calibri" w:hAnsi="Calibri" w:cs="Calibri"/>
        <w:color w:val="800000"/>
      </w:rPr>
    </w:pPr>
    <w:r>
      <w:rPr>
        <w:rFonts w:ascii="Calibri" w:hAnsi="Calibri" w:cs="Calibri"/>
        <w:color w:val="800000"/>
      </w:rPr>
      <w:t>Vertical Write-up</w:t>
    </w:r>
  </w:p>
  <w:p w:rsidR="0079113F" w:rsidRDefault="0079113F" w:rsidP="00AF5BF7">
    <w:pPr>
      <w:pStyle w:val="Header"/>
    </w:pPr>
    <w:r>
      <w:rPr>
        <w:noProof/>
      </w:rPr>
      <mc:AlternateContent>
        <mc:Choice Requires="wps">
          <w:drawing>
            <wp:anchor distT="0" distB="0" distL="114300" distR="114300" simplePos="0" relativeHeight="251663872" behindDoc="0" locked="0" layoutInCell="1" allowOverlap="1" wp14:anchorId="6BF781A0" wp14:editId="1134D994">
              <wp:simplePos x="0" y="0"/>
              <wp:positionH relativeFrom="column">
                <wp:posOffset>9525</wp:posOffset>
              </wp:positionH>
              <wp:positionV relativeFrom="paragraph">
                <wp:posOffset>33020</wp:posOffset>
              </wp:positionV>
              <wp:extent cx="5732780" cy="0"/>
              <wp:effectExtent l="0" t="0" r="20320" b="19050"/>
              <wp:wrapNone/>
              <wp:docPr id="4" name="Straight Connector 4"/>
              <wp:cNvGraphicFramePr/>
              <a:graphic xmlns:a="http://schemas.openxmlformats.org/drawingml/2006/main">
                <a:graphicData uri="http://schemas.microsoft.com/office/word/2010/wordprocessingShape">
                  <wps:wsp>
                    <wps:cNvCnPr/>
                    <wps:spPr bwMode="auto">
                      <a:xfrm>
                        <a:off x="0" y="0"/>
                        <a:ext cx="5732780"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w:pict>
            <v:line w14:anchorId="10846123" id="Straight Connector 4"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6pt" to="452.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" strokecolor="maroon [3204]" strokeweight="1.5pt"/>
          </w:pict>
        </mc:Fallback>
      </mc:AlternateContent>
    </w:r>
  </w:p>
  <w:p w:rsidR="0079113F" w:rsidRDefault="00791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9.1pt;height:9.1pt" o:bullet="t">
        <v:imagedata r:id="rId1" o:title="art121E"/>
      </v:shape>
    </w:pict>
  </w:numPicBullet>
  <w:abstractNum w:abstractNumId="0" w15:restartNumberingAfterBreak="0">
    <w:nsid w:val="00000005"/>
    <w:multiLevelType w:val="hybridMultilevel"/>
    <w:tmpl w:val="3240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5162A"/>
    <w:multiLevelType w:val="hybridMultilevel"/>
    <w:tmpl w:val="D636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50EDB"/>
    <w:multiLevelType w:val="hybridMultilevel"/>
    <w:tmpl w:val="5082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C5F24"/>
    <w:multiLevelType w:val="hybridMultilevel"/>
    <w:tmpl w:val="52506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EC79F9"/>
    <w:multiLevelType w:val="hybridMultilevel"/>
    <w:tmpl w:val="0C16E4E8"/>
    <w:lvl w:ilvl="0" w:tplc="4ABA1DDC">
      <w:start w:val="1"/>
      <w:numFmt w:val="bullet"/>
      <w:lvlText w:val=""/>
      <w:lvlPicBulletId w:val="0"/>
      <w:lvlJc w:val="left"/>
      <w:pPr>
        <w:tabs>
          <w:tab w:val="num" w:pos="720"/>
        </w:tabs>
        <w:ind w:left="720" w:hanging="360"/>
      </w:pPr>
      <w:rPr>
        <w:rFonts w:ascii="Symbol" w:hAnsi="Symbol" w:hint="default"/>
      </w:rPr>
    </w:lvl>
    <w:lvl w:ilvl="1" w:tplc="C56419B2" w:tentative="1">
      <w:start w:val="1"/>
      <w:numFmt w:val="bullet"/>
      <w:lvlText w:val=""/>
      <w:lvlPicBulletId w:val="0"/>
      <w:lvlJc w:val="left"/>
      <w:pPr>
        <w:tabs>
          <w:tab w:val="num" w:pos="1440"/>
        </w:tabs>
        <w:ind w:left="1440" w:hanging="360"/>
      </w:pPr>
      <w:rPr>
        <w:rFonts w:ascii="Symbol" w:hAnsi="Symbol" w:hint="default"/>
      </w:rPr>
    </w:lvl>
    <w:lvl w:ilvl="2" w:tplc="2CD8A21A" w:tentative="1">
      <w:start w:val="1"/>
      <w:numFmt w:val="bullet"/>
      <w:lvlText w:val=""/>
      <w:lvlPicBulletId w:val="0"/>
      <w:lvlJc w:val="left"/>
      <w:pPr>
        <w:tabs>
          <w:tab w:val="num" w:pos="2160"/>
        </w:tabs>
        <w:ind w:left="2160" w:hanging="360"/>
      </w:pPr>
      <w:rPr>
        <w:rFonts w:ascii="Symbol" w:hAnsi="Symbol" w:hint="default"/>
      </w:rPr>
    </w:lvl>
    <w:lvl w:ilvl="3" w:tplc="29D05DF4" w:tentative="1">
      <w:start w:val="1"/>
      <w:numFmt w:val="bullet"/>
      <w:lvlText w:val=""/>
      <w:lvlPicBulletId w:val="0"/>
      <w:lvlJc w:val="left"/>
      <w:pPr>
        <w:tabs>
          <w:tab w:val="num" w:pos="2880"/>
        </w:tabs>
        <w:ind w:left="2880" w:hanging="360"/>
      </w:pPr>
      <w:rPr>
        <w:rFonts w:ascii="Symbol" w:hAnsi="Symbol" w:hint="default"/>
      </w:rPr>
    </w:lvl>
    <w:lvl w:ilvl="4" w:tplc="CD82B2FA" w:tentative="1">
      <w:start w:val="1"/>
      <w:numFmt w:val="bullet"/>
      <w:lvlText w:val=""/>
      <w:lvlPicBulletId w:val="0"/>
      <w:lvlJc w:val="left"/>
      <w:pPr>
        <w:tabs>
          <w:tab w:val="num" w:pos="3600"/>
        </w:tabs>
        <w:ind w:left="3600" w:hanging="360"/>
      </w:pPr>
      <w:rPr>
        <w:rFonts w:ascii="Symbol" w:hAnsi="Symbol" w:hint="default"/>
      </w:rPr>
    </w:lvl>
    <w:lvl w:ilvl="5" w:tplc="B2948DBC" w:tentative="1">
      <w:start w:val="1"/>
      <w:numFmt w:val="bullet"/>
      <w:lvlText w:val=""/>
      <w:lvlPicBulletId w:val="0"/>
      <w:lvlJc w:val="left"/>
      <w:pPr>
        <w:tabs>
          <w:tab w:val="num" w:pos="4320"/>
        </w:tabs>
        <w:ind w:left="4320" w:hanging="360"/>
      </w:pPr>
      <w:rPr>
        <w:rFonts w:ascii="Symbol" w:hAnsi="Symbol" w:hint="default"/>
      </w:rPr>
    </w:lvl>
    <w:lvl w:ilvl="6" w:tplc="0D44679C" w:tentative="1">
      <w:start w:val="1"/>
      <w:numFmt w:val="bullet"/>
      <w:lvlText w:val=""/>
      <w:lvlPicBulletId w:val="0"/>
      <w:lvlJc w:val="left"/>
      <w:pPr>
        <w:tabs>
          <w:tab w:val="num" w:pos="5040"/>
        </w:tabs>
        <w:ind w:left="5040" w:hanging="360"/>
      </w:pPr>
      <w:rPr>
        <w:rFonts w:ascii="Symbol" w:hAnsi="Symbol" w:hint="default"/>
      </w:rPr>
    </w:lvl>
    <w:lvl w:ilvl="7" w:tplc="276CE802" w:tentative="1">
      <w:start w:val="1"/>
      <w:numFmt w:val="bullet"/>
      <w:lvlText w:val=""/>
      <w:lvlPicBulletId w:val="0"/>
      <w:lvlJc w:val="left"/>
      <w:pPr>
        <w:tabs>
          <w:tab w:val="num" w:pos="5760"/>
        </w:tabs>
        <w:ind w:left="5760" w:hanging="360"/>
      </w:pPr>
      <w:rPr>
        <w:rFonts w:ascii="Symbol" w:hAnsi="Symbol" w:hint="default"/>
      </w:rPr>
    </w:lvl>
    <w:lvl w:ilvl="8" w:tplc="4CCC7CBC"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A2965FE"/>
    <w:multiLevelType w:val="multilevel"/>
    <w:tmpl w:val="22B4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3395A"/>
    <w:multiLevelType w:val="hybridMultilevel"/>
    <w:tmpl w:val="5082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02DFE"/>
    <w:multiLevelType w:val="hybridMultilevel"/>
    <w:tmpl w:val="70CCDABE"/>
    <w:lvl w:ilvl="0" w:tplc="34C48FA0">
      <w:start w:val="1"/>
      <w:numFmt w:val="bullet"/>
      <w:lvlText w:val=""/>
      <w:lvlPicBulletId w:val="0"/>
      <w:lvlJc w:val="left"/>
      <w:pPr>
        <w:tabs>
          <w:tab w:val="num" w:pos="720"/>
        </w:tabs>
        <w:ind w:left="720" w:hanging="360"/>
      </w:pPr>
      <w:rPr>
        <w:rFonts w:ascii="Symbol" w:hAnsi="Symbol" w:hint="default"/>
      </w:rPr>
    </w:lvl>
    <w:lvl w:ilvl="1" w:tplc="819EFF76" w:tentative="1">
      <w:start w:val="1"/>
      <w:numFmt w:val="bullet"/>
      <w:lvlText w:val=""/>
      <w:lvlPicBulletId w:val="0"/>
      <w:lvlJc w:val="left"/>
      <w:pPr>
        <w:tabs>
          <w:tab w:val="num" w:pos="1440"/>
        </w:tabs>
        <w:ind w:left="1440" w:hanging="360"/>
      </w:pPr>
      <w:rPr>
        <w:rFonts w:ascii="Symbol" w:hAnsi="Symbol" w:hint="default"/>
      </w:rPr>
    </w:lvl>
    <w:lvl w:ilvl="2" w:tplc="1596952A" w:tentative="1">
      <w:start w:val="1"/>
      <w:numFmt w:val="bullet"/>
      <w:lvlText w:val=""/>
      <w:lvlPicBulletId w:val="0"/>
      <w:lvlJc w:val="left"/>
      <w:pPr>
        <w:tabs>
          <w:tab w:val="num" w:pos="2160"/>
        </w:tabs>
        <w:ind w:left="2160" w:hanging="360"/>
      </w:pPr>
      <w:rPr>
        <w:rFonts w:ascii="Symbol" w:hAnsi="Symbol" w:hint="default"/>
      </w:rPr>
    </w:lvl>
    <w:lvl w:ilvl="3" w:tplc="E39EA814" w:tentative="1">
      <w:start w:val="1"/>
      <w:numFmt w:val="bullet"/>
      <w:lvlText w:val=""/>
      <w:lvlPicBulletId w:val="0"/>
      <w:lvlJc w:val="left"/>
      <w:pPr>
        <w:tabs>
          <w:tab w:val="num" w:pos="2880"/>
        </w:tabs>
        <w:ind w:left="2880" w:hanging="360"/>
      </w:pPr>
      <w:rPr>
        <w:rFonts w:ascii="Symbol" w:hAnsi="Symbol" w:hint="default"/>
      </w:rPr>
    </w:lvl>
    <w:lvl w:ilvl="4" w:tplc="9D8C8BBC" w:tentative="1">
      <w:start w:val="1"/>
      <w:numFmt w:val="bullet"/>
      <w:lvlText w:val=""/>
      <w:lvlPicBulletId w:val="0"/>
      <w:lvlJc w:val="left"/>
      <w:pPr>
        <w:tabs>
          <w:tab w:val="num" w:pos="3600"/>
        </w:tabs>
        <w:ind w:left="3600" w:hanging="360"/>
      </w:pPr>
      <w:rPr>
        <w:rFonts w:ascii="Symbol" w:hAnsi="Symbol" w:hint="default"/>
      </w:rPr>
    </w:lvl>
    <w:lvl w:ilvl="5" w:tplc="44BC7712" w:tentative="1">
      <w:start w:val="1"/>
      <w:numFmt w:val="bullet"/>
      <w:lvlText w:val=""/>
      <w:lvlPicBulletId w:val="0"/>
      <w:lvlJc w:val="left"/>
      <w:pPr>
        <w:tabs>
          <w:tab w:val="num" w:pos="4320"/>
        </w:tabs>
        <w:ind w:left="4320" w:hanging="360"/>
      </w:pPr>
      <w:rPr>
        <w:rFonts w:ascii="Symbol" w:hAnsi="Symbol" w:hint="default"/>
      </w:rPr>
    </w:lvl>
    <w:lvl w:ilvl="6" w:tplc="8FA08A38" w:tentative="1">
      <w:start w:val="1"/>
      <w:numFmt w:val="bullet"/>
      <w:lvlText w:val=""/>
      <w:lvlPicBulletId w:val="0"/>
      <w:lvlJc w:val="left"/>
      <w:pPr>
        <w:tabs>
          <w:tab w:val="num" w:pos="5040"/>
        </w:tabs>
        <w:ind w:left="5040" w:hanging="360"/>
      </w:pPr>
      <w:rPr>
        <w:rFonts w:ascii="Symbol" w:hAnsi="Symbol" w:hint="default"/>
      </w:rPr>
    </w:lvl>
    <w:lvl w:ilvl="7" w:tplc="232495CA" w:tentative="1">
      <w:start w:val="1"/>
      <w:numFmt w:val="bullet"/>
      <w:lvlText w:val=""/>
      <w:lvlPicBulletId w:val="0"/>
      <w:lvlJc w:val="left"/>
      <w:pPr>
        <w:tabs>
          <w:tab w:val="num" w:pos="5760"/>
        </w:tabs>
        <w:ind w:left="5760" w:hanging="360"/>
      </w:pPr>
      <w:rPr>
        <w:rFonts w:ascii="Symbol" w:hAnsi="Symbol" w:hint="default"/>
      </w:rPr>
    </w:lvl>
    <w:lvl w:ilvl="8" w:tplc="069E3E84"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1D71E48"/>
    <w:multiLevelType w:val="multilevel"/>
    <w:tmpl w:val="8EB89F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307C0"/>
    <w:multiLevelType w:val="hybridMultilevel"/>
    <w:tmpl w:val="2F4E43D2"/>
    <w:lvl w:ilvl="0" w:tplc="5DEEC9C2">
      <w:start w:val="1"/>
      <w:numFmt w:val="bullet"/>
      <w:pStyle w:val="ListParagraphLevel1"/>
      <w:lvlText w:val=""/>
      <w:lvlJc w:val="left"/>
      <w:pPr>
        <w:ind w:left="753" w:hanging="360"/>
      </w:pPr>
      <w:rPr>
        <w:rFonts w:ascii="Webdings" w:hAnsi="Webdings"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15:restartNumberingAfterBreak="0">
    <w:nsid w:val="16363F4C"/>
    <w:multiLevelType w:val="hybridMultilevel"/>
    <w:tmpl w:val="1C30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04045"/>
    <w:multiLevelType w:val="hybridMultilevel"/>
    <w:tmpl w:val="83AE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120BB"/>
    <w:multiLevelType w:val="hybridMultilevel"/>
    <w:tmpl w:val="D4C2B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7D4DEC"/>
    <w:multiLevelType w:val="hybridMultilevel"/>
    <w:tmpl w:val="83AE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93316"/>
    <w:multiLevelType w:val="hybridMultilevel"/>
    <w:tmpl w:val="16E0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71D3D"/>
    <w:multiLevelType w:val="hybridMultilevel"/>
    <w:tmpl w:val="9EA84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447CF"/>
    <w:multiLevelType w:val="hybridMultilevel"/>
    <w:tmpl w:val="83AE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E532D"/>
    <w:multiLevelType w:val="hybridMultilevel"/>
    <w:tmpl w:val="4DCE5E58"/>
    <w:lvl w:ilvl="0" w:tplc="D3EC8B96">
      <w:start w:val="1"/>
      <w:numFmt w:val="decimal"/>
      <w:lvlText w:val="%1."/>
      <w:lvlJc w:val="left"/>
      <w:pPr>
        <w:ind w:left="720" w:hanging="360"/>
      </w:pPr>
      <w:rPr>
        <w:rFonts w:ascii="Arial" w:hAnsi="Arial" w:cs="Arial" w:hint="default"/>
        <w:b w:val="0"/>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15:restartNumberingAfterBreak="0">
    <w:nsid w:val="44A95644"/>
    <w:multiLevelType w:val="hybridMultilevel"/>
    <w:tmpl w:val="83F4A3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262DC"/>
    <w:multiLevelType w:val="multilevel"/>
    <w:tmpl w:val="C778D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0C2E47"/>
    <w:multiLevelType w:val="hybridMultilevel"/>
    <w:tmpl w:val="5082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10C83"/>
    <w:multiLevelType w:val="hybridMultilevel"/>
    <w:tmpl w:val="3C0C1CD2"/>
    <w:lvl w:ilvl="0" w:tplc="E81612B8">
      <w:start w:val="1"/>
      <w:numFmt w:val="bullet"/>
      <w:lvlText w:val="–"/>
      <w:lvlJc w:val="left"/>
      <w:pPr>
        <w:tabs>
          <w:tab w:val="num" w:pos="720"/>
        </w:tabs>
        <w:ind w:left="720" w:hanging="360"/>
      </w:pPr>
      <w:rPr>
        <w:rFonts w:ascii="Arial" w:hAnsi="Arial" w:hint="default"/>
      </w:rPr>
    </w:lvl>
    <w:lvl w:ilvl="1" w:tplc="91063B8C">
      <w:start w:val="1"/>
      <w:numFmt w:val="bullet"/>
      <w:lvlText w:val="–"/>
      <w:lvlJc w:val="left"/>
      <w:pPr>
        <w:tabs>
          <w:tab w:val="num" w:pos="1440"/>
        </w:tabs>
        <w:ind w:left="1440" w:hanging="360"/>
      </w:pPr>
      <w:rPr>
        <w:rFonts w:ascii="Arial" w:hAnsi="Arial" w:hint="default"/>
      </w:rPr>
    </w:lvl>
    <w:lvl w:ilvl="2" w:tplc="B5B6A418" w:tentative="1">
      <w:start w:val="1"/>
      <w:numFmt w:val="bullet"/>
      <w:lvlText w:val="–"/>
      <w:lvlJc w:val="left"/>
      <w:pPr>
        <w:tabs>
          <w:tab w:val="num" w:pos="2160"/>
        </w:tabs>
        <w:ind w:left="2160" w:hanging="360"/>
      </w:pPr>
      <w:rPr>
        <w:rFonts w:ascii="Arial" w:hAnsi="Arial" w:hint="default"/>
      </w:rPr>
    </w:lvl>
    <w:lvl w:ilvl="3" w:tplc="A6246166" w:tentative="1">
      <w:start w:val="1"/>
      <w:numFmt w:val="bullet"/>
      <w:lvlText w:val="–"/>
      <w:lvlJc w:val="left"/>
      <w:pPr>
        <w:tabs>
          <w:tab w:val="num" w:pos="2880"/>
        </w:tabs>
        <w:ind w:left="2880" w:hanging="360"/>
      </w:pPr>
      <w:rPr>
        <w:rFonts w:ascii="Arial" w:hAnsi="Arial" w:hint="default"/>
      </w:rPr>
    </w:lvl>
    <w:lvl w:ilvl="4" w:tplc="E3083FB2" w:tentative="1">
      <w:start w:val="1"/>
      <w:numFmt w:val="bullet"/>
      <w:lvlText w:val="–"/>
      <w:lvlJc w:val="left"/>
      <w:pPr>
        <w:tabs>
          <w:tab w:val="num" w:pos="3600"/>
        </w:tabs>
        <w:ind w:left="3600" w:hanging="360"/>
      </w:pPr>
      <w:rPr>
        <w:rFonts w:ascii="Arial" w:hAnsi="Arial" w:hint="default"/>
      </w:rPr>
    </w:lvl>
    <w:lvl w:ilvl="5" w:tplc="1E922376" w:tentative="1">
      <w:start w:val="1"/>
      <w:numFmt w:val="bullet"/>
      <w:lvlText w:val="–"/>
      <w:lvlJc w:val="left"/>
      <w:pPr>
        <w:tabs>
          <w:tab w:val="num" w:pos="4320"/>
        </w:tabs>
        <w:ind w:left="4320" w:hanging="360"/>
      </w:pPr>
      <w:rPr>
        <w:rFonts w:ascii="Arial" w:hAnsi="Arial" w:hint="default"/>
      </w:rPr>
    </w:lvl>
    <w:lvl w:ilvl="6" w:tplc="B7BC589E" w:tentative="1">
      <w:start w:val="1"/>
      <w:numFmt w:val="bullet"/>
      <w:lvlText w:val="–"/>
      <w:lvlJc w:val="left"/>
      <w:pPr>
        <w:tabs>
          <w:tab w:val="num" w:pos="5040"/>
        </w:tabs>
        <w:ind w:left="5040" w:hanging="360"/>
      </w:pPr>
      <w:rPr>
        <w:rFonts w:ascii="Arial" w:hAnsi="Arial" w:hint="default"/>
      </w:rPr>
    </w:lvl>
    <w:lvl w:ilvl="7" w:tplc="FA74FB7C" w:tentative="1">
      <w:start w:val="1"/>
      <w:numFmt w:val="bullet"/>
      <w:lvlText w:val="–"/>
      <w:lvlJc w:val="left"/>
      <w:pPr>
        <w:tabs>
          <w:tab w:val="num" w:pos="5760"/>
        </w:tabs>
        <w:ind w:left="5760" w:hanging="360"/>
      </w:pPr>
      <w:rPr>
        <w:rFonts w:ascii="Arial" w:hAnsi="Arial" w:hint="default"/>
      </w:rPr>
    </w:lvl>
    <w:lvl w:ilvl="8" w:tplc="698A696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F4B0763"/>
    <w:multiLevelType w:val="hybridMultilevel"/>
    <w:tmpl w:val="11FA0792"/>
    <w:lvl w:ilvl="0" w:tplc="CCC07AB6">
      <w:start w:val="1"/>
      <w:numFmt w:val="bullet"/>
      <w:lvlText w:val=""/>
      <w:lvlPicBulletId w:val="0"/>
      <w:lvlJc w:val="left"/>
      <w:pPr>
        <w:tabs>
          <w:tab w:val="num" w:pos="720"/>
        </w:tabs>
        <w:ind w:left="720" w:hanging="360"/>
      </w:pPr>
      <w:rPr>
        <w:rFonts w:ascii="Symbol" w:hAnsi="Symbol" w:hint="default"/>
      </w:rPr>
    </w:lvl>
    <w:lvl w:ilvl="1" w:tplc="F936249A" w:tentative="1">
      <w:start w:val="1"/>
      <w:numFmt w:val="bullet"/>
      <w:lvlText w:val=""/>
      <w:lvlPicBulletId w:val="0"/>
      <w:lvlJc w:val="left"/>
      <w:pPr>
        <w:tabs>
          <w:tab w:val="num" w:pos="1440"/>
        </w:tabs>
        <w:ind w:left="1440" w:hanging="360"/>
      </w:pPr>
      <w:rPr>
        <w:rFonts w:ascii="Symbol" w:hAnsi="Symbol" w:hint="default"/>
      </w:rPr>
    </w:lvl>
    <w:lvl w:ilvl="2" w:tplc="983E26A2" w:tentative="1">
      <w:start w:val="1"/>
      <w:numFmt w:val="bullet"/>
      <w:lvlText w:val=""/>
      <w:lvlPicBulletId w:val="0"/>
      <w:lvlJc w:val="left"/>
      <w:pPr>
        <w:tabs>
          <w:tab w:val="num" w:pos="2160"/>
        </w:tabs>
        <w:ind w:left="2160" w:hanging="360"/>
      </w:pPr>
      <w:rPr>
        <w:rFonts w:ascii="Symbol" w:hAnsi="Symbol" w:hint="default"/>
      </w:rPr>
    </w:lvl>
    <w:lvl w:ilvl="3" w:tplc="5A38A500" w:tentative="1">
      <w:start w:val="1"/>
      <w:numFmt w:val="bullet"/>
      <w:lvlText w:val=""/>
      <w:lvlPicBulletId w:val="0"/>
      <w:lvlJc w:val="left"/>
      <w:pPr>
        <w:tabs>
          <w:tab w:val="num" w:pos="2880"/>
        </w:tabs>
        <w:ind w:left="2880" w:hanging="360"/>
      </w:pPr>
      <w:rPr>
        <w:rFonts w:ascii="Symbol" w:hAnsi="Symbol" w:hint="default"/>
      </w:rPr>
    </w:lvl>
    <w:lvl w:ilvl="4" w:tplc="62A0EFF4" w:tentative="1">
      <w:start w:val="1"/>
      <w:numFmt w:val="bullet"/>
      <w:lvlText w:val=""/>
      <w:lvlPicBulletId w:val="0"/>
      <w:lvlJc w:val="left"/>
      <w:pPr>
        <w:tabs>
          <w:tab w:val="num" w:pos="3600"/>
        </w:tabs>
        <w:ind w:left="3600" w:hanging="360"/>
      </w:pPr>
      <w:rPr>
        <w:rFonts w:ascii="Symbol" w:hAnsi="Symbol" w:hint="default"/>
      </w:rPr>
    </w:lvl>
    <w:lvl w:ilvl="5" w:tplc="2BF24864" w:tentative="1">
      <w:start w:val="1"/>
      <w:numFmt w:val="bullet"/>
      <w:lvlText w:val=""/>
      <w:lvlPicBulletId w:val="0"/>
      <w:lvlJc w:val="left"/>
      <w:pPr>
        <w:tabs>
          <w:tab w:val="num" w:pos="4320"/>
        </w:tabs>
        <w:ind w:left="4320" w:hanging="360"/>
      </w:pPr>
      <w:rPr>
        <w:rFonts w:ascii="Symbol" w:hAnsi="Symbol" w:hint="default"/>
      </w:rPr>
    </w:lvl>
    <w:lvl w:ilvl="6" w:tplc="82660806" w:tentative="1">
      <w:start w:val="1"/>
      <w:numFmt w:val="bullet"/>
      <w:lvlText w:val=""/>
      <w:lvlPicBulletId w:val="0"/>
      <w:lvlJc w:val="left"/>
      <w:pPr>
        <w:tabs>
          <w:tab w:val="num" w:pos="5040"/>
        </w:tabs>
        <w:ind w:left="5040" w:hanging="360"/>
      </w:pPr>
      <w:rPr>
        <w:rFonts w:ascii="Symbol" w:hAnsi="Symbol" w:hint="default"/>
      </w:rPr>
    </w:lvl>
    <w:lvl w:ilvl="7" w:tplc="52A84DE4" w:tentative="1">
      <w:start w:val="1"/>
      <w:numFmt w:val="bullet"/>
      <w:lvlText w:val=""/>
      <w:lvlPicBulletId w:val="0"/>
      <w:lvlJc w:val="left"/>
      <w:pPr>
        <w:tabs>
          <w:tab w:val="num" w:pos="5760"/>
        </w:tabs>
        <w:ind w:left="5760" w:hanging="360"/>
      </w:pPr>
      <w:rPr>
        <w:rFonts w:ascii="Symbol" w:hAnsi="Symbol" w:hint="default"/>
      </w:rPr>
    </w:lvl>
    <w:lvl w:ilvl="8" w:tplc="98849E1E"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606D0B96"/>
    <w:multiLevelType w:val="hybridMultilevel"/>
    <w:tmpl w:val="51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96A87"/>
    <w:multiLevelType w:val="hybridMultilevel"/>
    <w:tmpl w:val="FA40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8D0CE4"/>
    <w:multiLevelType w:val="hybridMultilevel"/>
    <w:tmpl w:val="893AE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2F2B96"/>
    <w:multiLevelType w:val="hybridMultilevel"/>
    <w:tmpl w:val="8496F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C0DB8"/>
    <w:multiLevelType w:val="hybridMultilevel"/>
    <w:tmpl w:val="8CC6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75D7D"/>
    <w:multiLevelType w:val="hybridMultilevel"/>
    <w:tmpl w:val="7BDAE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F7607C"/>
    <w:multiLevelType w:val="hybridMultilevel"/>
    <w:tmpl w:val="9A16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num>
  <w:num w:numId="4">
    <w:abstractNumId w:val="27"/>
  </w:num>
  <w:num w:numId="5">
    <w:abstractNumId w:val="20"/>
  </w:num>
  <w:num w:numId="6">
    <w:abstractNumId w:val="8"/>
  </w:num>
  <w:num w:numId="7">
    <w:abstractNumId w:val="0"/>
  </w:num>
  <w:num w:numId="8">
    <w:abstractNumId w:val="4"/>
  </w:num>
  <w:num w:numId="9">
    <w:abstractNumId w:val="23"/>
  </w:num>
  <w:num w:numId="10">
    <w:abstractNumId w:val="7"/>
  </w:num>
  <w:num w:numId="11">
    <w:abstractNumId w:val="29"/>
  </w:num>
  <w:num w:numId="12">
    <w:abstractNumId w:val="22"/>
  </w:num>
  <w:num w:numId="13">
    <w:abstractNumId w:val="10"/>
  </w:num>
  <w:num w:numId="14">
    <w:abstractNumId w:val="14"/>
  </w:num>
  <w:num w:numId="15">
    <w:abstractNumId w:val="13"/>
  </w:num>
  <w:num w:numId="16">
    <w:abstractNumId w:val="30"/>
  </w:num>
  <w:num w:numId="17">
    <w:abstractNumId w:val="17"/>
  </w:num>
  <w:num w:numId="18">
    <w:abstractNumId w:val="11"/>
  </w:num>
  <w:num w:numId="19">
    <w:abstractNumId w:val="16"/>
  </w:num>
  <w:num w:numId="20">
    <w:abstractNumId w:val="28"/>
  </w:num>
  <w:num w:numId="21">
    <w:abstractNumId w:val="19"/>
  </w:num>
  <w:num w:numId="22">
    <w:abstractNumId w:val="21"/>
  </w:num>
  <w:num w:numId="23">
    <w:abstractNumId w:val="15"/>
  </w:num>
  <w:num w:numId="24">
    <w:abstractNumId w:val="2"/>
  </w:num>
  <w:num w:numId="25">
    <w:abstractNumId w:val="6"/>
  </w:num>
  <w:num w:numId="26">
    <w:abstractNumId w:val="24"/>
  </w:num>
  <w:num w:numId="27">
    <w:abstractNumId w:val="25"/>
  </w:num>
  <w:num w:numId="28">
    <w:abstractNumId w:val="26"/>
  </w:num>
  <w:num w:numId="29">
    <w:abstractNumId w:val="3"/>
  </w:num>
  <w:num w:numId="30">
    <w:abstractNumId w:val="5"/>
  </w:num>
  <w:num w:numId="31">
    <w:abstractNumId w:val="1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C2"/>
    <w:rsid w:val="000001DB"/>
    <w:rsid w:val="00006BF2"/>
    <w:rsid w:val="00007388"/>
    <w:rsid w:val="00017645"/>
    <w:rsid w:val="000242C8"/>
    <w:rsid w:val="00032A11"/>
    <w:rsid w:val="000355F8"/>
    <w:rsid w:val="0004371D"/>
    <w:rsid w:val="00047BC6"/>
    <w:rsid w:val="00057FE0"/>
    <w:rsid w:val="000604B5"/>
    <w:rsid w:val="00061CF8"/>
    <w:rsid w:val="00065961"/>
    <w:rsid w:val="00074161"/>
    <w:rsid w:val="00076869"/>
    <w:rsid w:val="00081F66"/>
    <w:rsid w:val="00085A02"/>
    <w:rsid w:val="00091E8F"/>
    <w:rsid w:val="000979E0"/>
    <w:rsid w:val="000A4ECD"/>
    <w:rsid w:val="000B4D6F"/>
    <w:rsid w:val="000C0F5B"/>
    <w:rsid w:val="000C5752"/>
    <w:rsid w:val="000C5D68"/>
    <w:rsid w:val="000C6BBE"/>
    <w:rsid w:val="000D0156"/>
    <w:rsid w:val="000D29F6"/>
    <w:rsid w:val="000D2CB3"/>
    <w:rsid w:val="000D7A5D"/>
    <w:rsid w:val="000F097E"/>
    <w:rsid w:val="000F4B1A"/>
    <w:rsid w:val="001046E3"/>
    <w:rsid w:val="0010793E"/>
    <w:rsid w:val="00131215"/>
    <w:rsid w:val="00152C80"/>
    <w:rsid w:val="001551EE"/>
    <w:rsid w:val="00171304"/>
    <w:rsid w:val="001A4DDD"/>
    <w:rsid w:val="001A648C"/>
    <w:rsid w:val="001B24CB"/>
    <w:rsid w:val="001B2AED"/>
    <w:rsid w:val="001B6F78"/>
    <w:rsid w:val="001D2328"/>
    <w:rsid w:val="001D7785"/>
    <w:rsid w:val="001E1DE4"/>
    <w:rsid w:val="001E33DB"/>
    <w:rsid w:val="001F557B"/>
    <w:rsid w:val="001F6DFF"/>
    <w:rsid w:val="00200960"/>
    <w:rsid w:val="00220863"/>
    <w:rsid w:val="002313AB"/>
    <w:rsid w:val="002369A3"/>
    <w:rsid w:val="002901C9"/>
    <w:rsid w:val="002943DB"/>
    <w:rsid w:val="00297481"/>
    <w:rsid w:val="002A0E1C"/>
    <w:rsid w:val="002A2804"/>
    <w:rsid w:val="002C032E"/>
    <w:rsid w:val="002D7B39"/>
    <w:rsid w:val="002E0934"/>
    <w:rsid w:val="002E093D"/>
    <w:rsid w:val="00301AB2"/>
    <w:rsid w:val="00304288"/>
    <w:rsid w:val="00304748"/>
    <w:rsid w:val="003052AF"/>
    <w:rsid w:val="00312C5A"/>
    <w:rsid w:val="00333FF1"/>
    <w:rsid w:val="00336682"/>
    <w:rsid w:val="00336956"/>
    <w:rsid w:val="00355E98"/>
    <w:rsid w:val="00366D57"/>
    <w:rsid w:val="00372C17"/>
    <w:rsid w:val="0038317F"/>
    <w:rsid w:val="003B558A"/>
    <w:rsid w:val="003C7CE6"/>
    <w:rsid w:val="003C7EED"/>
    <w:rsid w:val="003F199B"/>
    <w:rsid w:val="00403780"/>
    <w:rsid w:val="00410A7E"/>
    <w:rsid w:val="00433D2E"/>
    <w:rsid w:val="0043509F"/>
    <w:rsid w:val="004355A5"/>
    <w:rsid w:val="00461159"/>
    <w:rsid w:val="0048035B"/>
    <w:rsid w:val="00482ABD"/>
    <w:rsid w:val="00491A06"/>
    <w:rsid w:val="00495546"/>
    <w:rsid w:val="004A4FAD"/>
    <w:rsid w:val="004B0C34"/>
    <w:rsid w:val="004B1F2F"/>
    <w:rsid w:val="004B4142"/>
    <w:rsid w:val="004B4989"/>
    <w:rsid w:val="004B75FD"/>
    <w:rsid w:val="004C6046"/>
    <w:rsid w:val="004D54F6"/>
    <w:rsid w:val="004D6AAB"/>
    <w:rsid w:val="004D6EF8"/>
    <w:rsid w:val="004E0B89"/>
    <w:rsid w:val="004E5168"/>
    <w:rsid w:val="004E599D"/>
    <w:rsid w:val="00500D64"/>
    <w:rsid w:val="005354E4"/>
    <w:rsid w:val="005501E3"/>
    <w:rsid w:val="00556C0A"/>
    <w:rsid w:val="00560EB3"/>
    <w:rsid w:val="00576FE5"/>
    <w:rsid w:val="005916E3"/>
    <w:rsid w:val="005A2A9B"/>
    <w:rsid w:val="005D026F"/>
    <w:rsid w:val="005E1364"/>
    <w:rsid w:val="005E5306"/>
    <w:rsid w:val="005E541B"/>
    <w:rsid w:val="005E77B2"/>
    <w:rsid w:val="005F3F50"/>
    <w:rsid w:val="005F43E0"/>
    <w:rsid w:val="00604109"/>
    <w:rsid w:val="00617C1A"/>
    <w:rsid w:val="00624332"/>
    <w:rsid w:val="00632F53"/>
    <w:rsid w:val="00633948"/>
    <w:rsid w:val="00664F68"/>
    <w:rsid w:val="00672CCE"/>
    <w:rsid w:val="006750B3"/>
    <w:rsid w:val="00677989"/>
    <w:rsid w:val="0068221A"/>
    <w:rsid w:val="006918B7"/>
    <w:rsid w:val="00693475"/>
    <w:rsid w:val="006A4A3F"/>
    <w:rsid w:val="006A6E41"/>
    <w:rsid w:val="006B2E99"/>
    <w:rsid w:val="006B5FBC"/>
    <w:rsid w:val="006C08E9"/>
    <w:rsid w:val="006C4263"/>
    <w:rsid w:val="006D17EB"/>
    <w:rsid w:val="006F3259"/>
    <w:rsid w:val="006F3C0E"/>
    <w:rsid w:val="006F4F5C"/>
    <w:rsid w:val="00705640"/>
    <w:rsid w:val="007079F9"/>
    <w:rsid w:val="00715E23"/>
    <w:rsid w:val="00732488"/>
    <w:rsid w:val="00734602"/>
    <w:rsid w:val="0074118A"/>
    <w:rsid w:val="00746255"/>
    <w:rsid w:val="00747D8E"/>
    <w:rsid w:val="0075498D"/>
    <w:rsid w:val="00760133"/>
    <w:rsid w:val="00771BB7"/>
    <w:rsid w:val="0077777C"/>
    <w:rsid w:val="00781313"/>
    <w:rsid w:val="00781466"/>
    <w:rsid w:val="007869D5"/>
    <w:rsid w:val="00790FC5"/>
    <w:rsid w:val="0079113F"/>
    <w:rsid w:val="00793659"/>
    <w:rsid w:val="007A7042"/>
    <w:rsid w:val="007B22C5"/>
    <w:rsid w:val="007B3010"/>
    <w:rsid w:val="007C0335"/>
    <w:rsid w:val="007C5E49"/>
    <w:rsid w:val="007C7A13"/>
    <w:rsid w:val="007E1C5F"/>
    <w:rsid w:val="007E4194"/>
    <w:rsid w:val="007E7157"/>
    <w:rsid w:val="008036A2"/>
    <w:rsid w:val="00822E2D"/>
    <w:rsid w:val="00836B84"/>
    <w:rsid w:val="00841C54"/>
    <w:rsid w:val="0085183D"/>
    <w:rsid w:val="00874786"/>
    <w:rsid w:val="008A22DB"/>
    <w:rsid w:val="008A383D"/>
    <w:rsid w:val="008B6E84"/>
    <w:rsid w:val="008C0104"/>
    <w:rsid w:val="008C2516"/>
    <w:rsid w:val="008D2F2E"/>
    <w:rsid w:val="008E0AD3"/>
    <w:rsid w:val="008E3904"/>
    <w:rsid w:val="008E63A3"/>
    <w:rsid w:val="008F1E28"/>
    <w:rsid w:val="008F41CF"/>
    <w:rsid w:val="008F60D9"/>
    <w:rsid w:val="008F7397"/>
    <w:rsid w:val="00906DEE"/>
    <w:rsid w:val="00915253"/>
    <w:rsid w:val="00932873"/>
    <w:rsid w:val="00934E55"/>
    <w:rsid w:val="00942B23"/>
    <w:rsid w:val="00952E91"/>
    <w:rsid w:val="00967E47"/>
    <w:rsid w:val="009768EC"/>
    <w:rsid w:val="009807E0"/>
    <w:rsid w:val="0098506D"/>
    <w:rsid w:val="00987017"/>
    <w:rsid w:val="00987E7B"/>
    <w:rsid w:val="009901FF"/>
    <w:rsid w:val="009A352D"/>
    <w:rsid w:val="009B1CBB"/>
    <w:rsid w:val="009B4D45"/>
    <w:rsid w:val="009B6617"/>
    <w:rsid w:val="009C1F4A"/>
    <w:rsid w:val="009C5177"/>
    <w:rsid w:val="009D2A10"/>
    <w:rsid w:val="009E3E55"/>
    <w:rsid w:val="009E54E3"/>
    <w:rsid w:val="009F4B29"/>
    <w:rsid w:val="009F63BA"/>
    <w:rsid w:val="00A065BE"/>
    <w:rsid w:val="00A10DA6"/>
    <w:rsid w:val="00A1224E"/>
    <w:rsid w:val="00A177AD"/>
    <w:rsid w:val="00A22E2A"/>
    <w:rsid w:val="00A240E2"/>
    <w:rsid w:val="00A30220"/>
    <w:rsid w:val="00A3186F"/>
    <w:rsid w:val="00A41F70"/>
    <w:rsid w:val="00A42049"/>
    <w:rsid w:val="00A510B9"/>
    <w:rsid w:val="00A54AD4"/>
    <w:rsid w:val="00A71B79"/>
    <w:rsid w:val="00A71EEB"/>
    <w:rsid w:val="00A866EF"/>
    <w:rsid w:val="00A91126"/>
    <w:rsid w:val="00A94C51"/>
    <w:rsid w:val="00A9594D"/>
    <w:rsid w:val="00AA2080"/>
    <w:rsid w:val="00AA5328"/>
    <w:rsid w:val="00AA5DB7"/>
    <w:rsid w:val="00AB117E"/>
    <w:rsid w:val="00AD4D3E"/>
    <w:rsid w:val="00AE33D5"/>
    <w:rsid w:val="00AE395F"/>
    <w:rsid w:val="00AE4235"/>
    <w:rsid w:val="00AF5BF7"/>
    <w:rsid w:val="00AF7818"/>
    <w:rsid w:val="00B04BF8"/>
    <w:rsid w:val="00B16841"/>
    <w:rsid w:val="00B26CF4"/>
    <w:rsid w:val="00B30E87"/>
    <w:rsid w:val="00B4315C"/>
    <w:rsid w:val="00B4739E"/>
    <w:rsid w:val="00B540BC"/>
    <w:rsid w:val="00B6189F"/>
    <w:rsid w:val="00B61AA7"/>
    <w:rsid w:val="00B61D6E"/>
    <w:rsid w:val="00BA008D"/>
    <w:rsid w:val="00BA2EBC"/>
    <w:rsid w:val="00BA514F"/>
    <w:rsid w:val="00BC02B6"/>
    <w:rsid w:val="00BC2ECE"/>
    <w:rsid w:val="00BD23AB"/>
    <w:rsid w:val="00BD5FCB"/>
    <w:rsid w:val="00BE16C2"/>
    <w:rsid w:val="00BE2F12"/>
    <w:rsid w:val="00BE735B"/>
    <w:rsid w:val="00C012A4"/>
    <w:rsid w:val="00C06120"/>
    <w:rsid w:val="00C22461"/>
    <w:rsid w:val="00C22C71"/>
    <w:rsid w:val="00C25459"/>
    <w:rsid w:val="00C72054"/>
    <w:rsid w:val="00C77EEA"/>
    <w:rsid w:val="00C80911"/>
    <w:rsid w:val="00C83403"/>
    <w:rsid w:val="00C85738"/>
    <w:rsid w:val="00C975A5"/>
    <w:rsid w:val="00CA0BCB"/>
    <w:rsid w:val="00CA10CF"/>
    <w:rsid w:val="00CB3185"/>
    <w:rsid w:val="00CB7158"/>
    <w:rsid w:val="00CC4BF6"/>
    <w:rsid w:val="00CC7EAF"/>
    <w:rsid w:val="00CD118A"/>
    <w:rsid w:val="00CD2971"/>
    <w:rsid w:val="00CE592C"/>
    <w:rsid w:val="00CE6CA1"/>
    <w:rsid w:val="00D2081A"/>
    <w:rsid w:val="00D2109C"/>
    <w:rsid w:val="00D273A8"/>
    <w:rsid w:val="00D46D63"/>
    <w:rsid w:val="00D66D57"/>
    <w:rsid w:val="00D7637B"/>
    <w:rsid w:val="00D95527"/>
    <w:rsid w:val="00D963E2"/>
    <w:rsid w:val="00DE281B"/>
    <w:rsid w:val="00DE3EF7"/>
    <w:rsid w:val="00DF075A"/>
    <w:rsid w:val="00DF7183"/>
    <w:rsid w:val="00E027BE"/>
    <w:rsid w:val="00E1532E"/>
    <w:rsid w:val="00E23906"/>
    <w:rsid w:val="00E2450A"/>
    <w:rsid w:val="00E4523E"/>
    <w:rsid w:val="00E512CA"/>
    <w:rsid w:val="00E579A8"/>
    <w:rsid w:val="00E57A16"/>
    <w:rsid w:val="00E63103"/>
    <w:rsid w:val="00E67283"/>
    <w:rsid w:val="00E67291"/>
    <w:rsid w:val="00E723EB"/>
    <w:rsid w:val="00E803BD"/>
    <w:rsid w:val="00E90A6A"/>
    <w:rsid w:val="00E9621A"/>
    <w:rsid w:val="00EB324A"/>
    <w:rsid w:val="00EB5895"/>
    <w:rsid w:val="00EE1B03"/>
    <w:rsid w:val="00EE5BC9"/>
    <w:rsid w:val="00EF534E"/>
    <w:rsid w:val="00F02E93"/>
    <w:rsid w:val="00F0453C"/>
    <w:rsid w:val="00F35938"/>
    <w:rsid w:val="00F37F72"/>
    <w:rsid w:val="00F44633"/>
    <w:rsid w:val="00F45B6A"/>
    <w:rsid w:val="00F51936"/>
    <w:rsid w:val="00F542F7"/>
    <w:rsid w:val="00F76420"/>
    <w:rsid w:val="00F8354F"/>
    <w:rsid w:val="00FA10A2"/>
    <w:rsid w:val="00FD53B2"/>
    <w:rsid w:val="00FE044E"/>
    <w:rsid w:val="00FE2CAA"/>
    <w:rsid w:val="00FE420E"/>
    <w:rsid w:val="00FE44E9"/>
    <w:rsid w:val="00FF0AD2"/>
    <w:rsid w:val="00FF0B2B"/>
    <w:rsid w:val="00FF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E073A"/>
  <w15:chartTrackingRefBased/>
  <w15:docId w15:val="{4C00D049-E688-4BDD-83FA-E118BC59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BC9"/>
    <w:rPr>
      <w:rFonts w:ascii="Calibri" w:hAnsi="Calibri" w:cs="Times New Roman"/>
    </w:rPr>
  </w:style>
  <w:style w:type="paragraph" w:styleId="Heading1">
    <w:name w:val="heading 1"/>
    <w:basedOn w:val="Normal"/>
    <w:next w:val="Normal"/>
    <w:link w:val="Heading1Char"/>
    <w:uiPriority w:val="9"/>
    <w:qFormat/>
    <w:rsid w:val="00065961"/>
    <w:pPr>
      <w:keepNext/>
      <w:keepLines/>
      <w:spacing w:before="240" w:after="120"/>
      <w:outlineLvl w:val="0"/>
    </w:pPr>
    <w:rPr>
      <w:rFonts w:ascii="Cambria" w:eastAsiaTheme="majorEastAsia" w:hAnsi="Cambria" w:cstheme="majorBidi"/>
      <w:bCs/>
      <w:color w:val="800000" w:themeColor="accent1"/>
      <w:sz w:val="36"/>
      <w:szCs w:val="36"/>
    </w:rPr>
  </w:style>
  <w:style w:type="paragraph" w:styleId="Heading2">
    <w:name w:val="heading 2"/>
    <w:basedOn w:val="Normal"/>
    <w:next w:val="Normal"/>
    <w:link w:val="Heading2Char"/>
    <w:uiPriority w:val="9"/>
    <w:unhideWhenUsed/>
    <w:qFormat/>
    <w:rsid w:val="00065961"/>
    <w:pPr>
      <w:keepNext/>
      <w:keepLines/>
      <w:spacing w:before="240" w:after="120"/>
      <w:outlineLvl w:val="1"/>
    </w:pPr>
    <w:rPr>
      <w:rFonts w:ascii="Cambria" w:eastAsiaTheme="majorEastAsia" w:hAnsi="Cambria" w:cstheme="majorBidi"/>
      <w:bCs/>
      <w:color w:val="800000" w:themeColor="accent1"/>
      <w:sz w:val="28"/>
      <w:szCs w:val="28"/>
    </w:rPr>
  </w:style>
  <w:style w:type="paragraph" w:styleId="Heading3">
    <w:name w:val="heading 3"/>
    <w:aliases w:val="Page Heading"/>
    <w:basedOn w:val="Normal"/>
    <w:next w:val="Normal"/>
    <w:link w:val="Heading3Char"/>
    <w:uiPriority w:val="9"/>
    <w:unhideWhenUsed/>
    <w:qFormat/>
    <w:rsid w:val="00E67283"/>
    <w:pPr>
      <w:outlineLvl w:val="2"/>
    </w:pPr>
    <w:rPr>
      <w:rFonts w:ascii="Cambria" w:hAnsi="Cambria"/>
      <w:color w:val="800000" w:themeColor="accent1"/>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47BC6"/>
  </w:style>
  <w:style w:type="paragraph" w:styleId="Footer">
    <w:name w:val="footer"/>
    <w:basedOn w:val="Normal"/>
    <w:link w:val="Foot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47BC6"/>
  </w:style>
  <w:style w:type="paragraph" w:customStyle="1" w:styleId="H4">
    <w:name w:val="H4"/>
    <w:basedOn w:val="Normal"/>
    <w:next w:val="Normal"/>
    <w:rsid w:val="00047BC6"/>
    <w:pPr>
      <w:keepNext/>
      <w:spacing w:before="100" w:after="100" w:line="240" w:lineRule="auto"/>
      <w:outlineLvl w:val="4"/>
    </w:pPr>
    <w:rPr>
      <w:rFonts w:ascii="Times New Roman" w:eastAsia="Times New Roman" w:hAnsi="Times New Roman"/>
      <w:b/>
      <w:snapToGrid w:val="0"/>
      <w:sz w:val="24"/>
      <w:szCs w:val="20"/>
    </w:rPr>
  </w:style>
  <w:style w:type="paragraph" w:styleId="BalloonText">
    <w:name w:val="Balloon Text"/>
    <w:basedOn w:val="Normal"/>
    <w:link w:val="BalloonTextChar"/>
    <w:uiPriority w:val="99"/>
    <w:semiHidden/>
    <w:unhideWhenUsed/>
    <w:rsid w:val="00047BC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47BC6"/>
    <w:rPr>
      <w:rFonts w:ascii="Tahoma" w:hAnsi="Tahoma" w:cs="Tahoma"/>
      <w:sz w:val="16"/>
      <w:szCs w:val="16"/>
    </w:rPr>
  </w:style>
  <w:style w:type="paragraph" w:customStyle="1" w:styleId="MyText">
    <w:name w:val="MyText"/>
    <w:basedOn w:val="BodyText3"/>
    <w:link w:val="MyTextChar"/>
    <w:uiPriority w:val="99"/>
    <w:rsid w:val="0048035B"/>
    <w:pPr>
      <w:tabs>
        <w:tab w:val="left" w:pos="1440"/>
      </w:tabs>
      <w:spacing w:after="0" w:line="240" w:lineRule="auto"/>
      <w:ind w:left="720"/>
      <w:jc w:val="both"/>
      <w:outlineLvl w:val="0"/>
    </w:pPr>
    <w:rPr>
      <w:rFonts w:ascii="Times New Roman" w:hAnsi="Times New Roman"/>
      <w:sz w:val="20"/>
      <w:szCs w:val="20"/>
      <w:lang w:val="x-none" w:eastAsia="x-none"/>
    </w:rPr>
  </w:style>
  <w:style w:type="character" w:customStyle="1" w:styleId="MyTextChar">
    <w:name w:val="MyText Char"/>
    <w:link w:val="MyText"/>
    <w:uiPriority w:val="99"/>
    <w:locked/>
    <w:rsid w:val="0048035B"/>
    <w:rPr>
      <w:rFonts w:ascii="Times New Roman" w:eastAsia="Calibri" w:hAnsi="Times New Roman" w:cs="Times New Roman"/>
      <w:sz w:val="20"/>
      <w:szCs w:val="20"/>
      <w:lang w:val="x-none" w:eastAsia="x-none"/>
    </w:rPr>
  </w:style>
  <w:style w:type="paragraph" w:styleId="BodyText3">
    <w:name w:val="Body Text 3"/>
    <w:basedOn w:val="Normal"/>
    <w:link w:val="BodyText3Char"/>
    <w:uiPriority w:val="99"/>
    <w:semiHidden/>
    <w:unhideWhenUsed/>
    <w:rsid w:val="0048035B"/>
    <w:pPr>
      <w:spacing w:after="120"/>
    </w:pPr>
    <w:rPr>
      <w:sz w:val="16"/>
      <w:szCs w:val="16"/>
    </w:rPr>
  </w:style>
  <w:style w:type="character" w:customStyle="1" w:styleId="BodyText3Char">
    <w:name w:val="Body Text 3 Char"/>
    <w:basedOn w:val="DefaultParagraphFont"/>
    <w:link w:val="BodyText3"/>
    <w:uiPriority w:val="99"/>
    <w:semiHidden/>
    <w:rsid w:val="0048035B"/>
    <w:rPr>
      <w:rFonts w:ascii="Calibri" w:eastAsia="Calibri" w:hAnsi="Calibri" w:cs="Times New Roman"/>
      <w:sz w:val="16"/>
      <w:szCs w:val="16"/>
    </w:rPr>
  </w:style>
  <w:style w:type="character" w:styleId="PlaceholderText">
    <w:name w:val="Placeholder Text"/>
    <w:basedOn w:val="DefaultParagraphFont"/>
    <w:uiPriority w:val="99"/>
    <w:semiHidden/>
    <w:rsid w:val="00790FC5"/>
    <w:rPr>
      <w:color w:val="808080"/>
    </w:rPr>
  </w:style>
  <w:style w:type="paragraph" w:styleId="NoSpacing">
    <w:name w:val="No Spacing"/>
    <w:link w:val="NoSpacingChar"/>
    <w:uiPriority w:val="1"/>
    <w:qFormat/>
    <w:rsid w:val="000F4B1A"/>
    <w:pPr>
      <w:spacing w:after="0" w:line="240" w:lineRule="auto"/>
    </w:pPr>
    <w:rPr>
      <w:rFonts w:ascii="Calibri" w:eastAsiaTheme="minorEastAsia" w:hAnsi="Calibri"/>
      <w:lang w:eastAsia="ja-JP"/>
    </w:rPr>
  </w:style>
  <w:style w:type="character" w:customStyle="1" w:styleId="NoSpacingChar">
    <w:name w:val="No Spacing Char"/>
    <w:basedOn w:val="DefaultParagraphFont"/>
    <w:link w:val="NoSpacing"/>
    <w:uiPriority w:val="1"/>
    <w:rsid w:val="000F4B1A"/>
    <w:rPr>
      <w:rFonts w:ascii="Calibri" w:eastAsiaTheme="minorEastAsia" w:hAnsi="Calibri"/>
      <w:lang w:eastAsia="ja-JP"/>
    </w:rPr>
  </w:style>
  <w:style w:type="character" w:customStyle="1" w:styleId="Heading1Char">
    <w:name w:val="Heading 1 Char"/>
    <w:basedOn w:val="DefaultParagraphFont"/>
    <w:link w:val="Heading1"/>
    <w:uiPriority w:val="9"/>
    <w:rsid w:val="00065961"/>
    <w:rPr>
      <w:rFonts w:ascii="Cambria" w:eastAsiaTheme="majorEastAsia" w:hAnsi="Cambria" w:cstheme="majorBidi"/>
      <w:bCs/>
      <w:color w:val="800000" w:themeColor="accent1"/>
      <w:sz w:val="36"/>
      <w:szCs w:val="36"/>
    </w:rPr>
  </w:style>
  <w:style w:type="character" w:customStyle="1" w:styleId="Heading2Char">
    <w:name w:val="Heading 2 Char"/>
    <w:basedOn w:val="DefaultParagraphFont"/>
    <w:link w:val="Heading2"/>
    <w:uiPriority w:val="9"/>
    <w:rsid w:val="00065961"/>
    <w:rPr>
      <w:rFonts w:ascii="Cambria" w:eastAsiaTheme="majorEastAsia" w:hAnsi="Cambria" w:cstheme="majorBidi"/>
      <w:bCs/>
      <w:color w:val="800000" w:themeColor="accent1"/>
      <w:sz w:val="28"/>
      <w:szCs w:val="28"/>
    </w:rPr>
  </w:style>
  <w:style w:type="paragraph" w:styleId="Title">
    <w:name w:val="Title"/>
    <w:basedOn w:val="Normal"/>
    <w:next w:val="Normal"/>
    <w:link w:val="TitleChar"/>
    <w:uiPriority w:val="10"/>
    <w:qFormat/>
    <w:rsid w:val="000F4B1A"/>
    <w:pPr>
      <w:pBdr>
        <w:bottom w:val="single" w:sz="8" w:space="4" w:color="800000" w:themeColor="accent1"/>
      </w:pBdr>
      <w:spacing w:after="300" w:line="240" w:lineRule="auto"/>
      <w:contextualSpacing/>
    </w:pPr>
    <w:rPr>
      <w:rFonts w:ascii="Cambria" w:eastAsiaTheme="majorEastAsia" w:hAnsi="Cambria" w:cstheme="majorBidi"/>
      <w:color w:val="800000" w:themeColor="accent1"/>
      <w:spacing w:val="5"/>
      <w:kern w:val="28"/>
      <w:sz w:val="52"/>
      <w:szCs w:val="52"/>
    </w:rPr>
  </w:style>
  <w:style w:type="character" w:customStyle="1" w:styleId="TitleChar">
    <w:name w:val="Title Char"/>
    <w:basedOn w:val="DefaultParagraphFont"/>
    <w:link w:val="Title"/>
    <w:uiPriority w:val="10"/>
    <w:rsid w:val="000F4B1A"/>
    <w:rPr>
      <w:rFonts w:ascii="Cambria" w:eastAsiaTheme="majorEastAsia" w:hAnsi="Cambria" w:cstheme="majorBidi"/>
      <w:color w:val="800000" w:themeColor="accent1"/>
      <w:spacing w:val="5"/>
      <w:kern w:val="28"/>
      <w:sz w:val="52"/>
      <w:szCs w:val="52"/>
    </w:rPr>
  </w:style>
  <w:style w:type="paragraph" w:styleId="NormalWeb">
    <w:name w:val="Normal (Web)"/>
    <w:basedOn w:val="Normal"/>
    <w:uiPriority w:val="99"/>
    <w:unhideWhenUsed/>
    <w:rsid w:val="007A7042"/>
    <w:pPr>
      <w:spacing w:before="100" w:beforeAutospacing="1" w:after="100" w:afterAutospacing="1" w:line="240" w:lineRule="auto"/>
    </w:pPr>
    <w:rPr>
      <w:rFonts w:ascii="Times New Roman" w:eastAsiaTheme="minorEastAsia" w:hAnsi="Times New Roman"/>
      <w:sz w:val="24"/>
      <w:szCs w:val="24"/>
    </w:rPr>
  </w:style>
  <w:style w:type="character" w:customStyle="1" w:styleId="Heading3Char">
    <w:name w:val="Heading 3 Char"/>
    <w:aliases w:val="Page Heading Char"/>
    <w:basedOn w:val="DefaultParagraphFont"/>
    <w:link w:val="Heading3"/>
    <w:uiPriority w:val="9"/>
    <w:rsid w:val="00E67283"/>
    <w:rPr>
      <w:rFonts w:ascii="Cambria" w:hAnsi="Cambria" w:cs="Times New Roman"/>
      <w:color w:val="800000" w:themeColor="accent1"/>
      <w:sz w:val="52"/>
      <w:szCs w:val="52"/>
    </w:rPr>
  </w:style>
  <w:style w:type="paragraph" w:styleId="TOCHeading">
    <w:name w:val="TOC Heading"/>
    <w:basedOn w:val="Heading1"/>
    <w:next w:val="Normal"/>
    <w:uiPriority w:val="39"/>
    <w:unhideWhenUsed/>
    <w:qFormat/>
    <w:rsid w:val="00D963E2"/>
    <w:pPr>
      <w:outlineLvl w:val="9"/>
    </w:pPr>
    <w:rPr>
      <w:rFonts w:asciiTheme="majorHAnsi" w:hAnsiTheme="majorHAnsi"/>
      <w:b/>
      <w:color w:val="5F0000" w:themeColor="accent1" w:themeShade="BF"/>
      <w:sz w:val="28"/>
      <w:lang w:eastAsia="ja-JP"/>
    </w:rPr>
  </w:style>
  <w:style w:type="paragraph" w:styleId="ListParagraph">
    <w:name w:val="List Paragraph"/>
    <w:basedOn w:val="Normal"/>
    <w:uiPriority w:val="34"/>
    <w:qFormat/>
    <w:rsid w:val="00D963E2"/>
    <w:pPr>
      <w:ind w:left="720"/>
      <w:contextualSpacing/>
    </w:pPr>
  </w:style>
  <w:style w:type="paragraph" w:customStyle="1" w:styleId="ListParagraphLevel1">
    <w:name w:val="List Paragraph Level 1"/>
    <w:basedOn w:val="Normal"/>
    <w:link w:val="ListParagraphLevel1Char"/>
    <w:qFormat/>
    <w:rsid w:val="00D963E2"/>
    <w:pPr>
      <w:numPr>
        <w:numId w:val="1"/>
      </w:numPr>
      <w:spacing w:before="100" w:after="100"/>
      <w:jc w:val="both"/>
    </w:pPr>
  </w:style>
  <w:style w:type="character" w:customStyle="1" w:styleId="ListParagraphLevel1Char">
    <w:name w:val="List Paragraph Level 1 Char"/>
    <w:basedOn w:val="DefaultParagraphFont"/>
    <w:link w:val="ListParagraphLevel1"/>
    <w:rsid w:val="00D963E2"/>
    <w:rPr>
      <w:rFonts w:ascii="Calibri" w:hAnsi="Calibri" w:cs="Times New Roman"/>
    </w:rPr>
  </w:style>
  <w:style w:type="paragraph" w:customStyle="1" w:styleId="ListParagraphLevel2">
    <w:name w:val="List Paragraph Level 2"/>
    <w:basedOn w:val="Normal"/>
    <w:link w:val="ListParagraphLevel2Char"/>
    <w:qFormat/>
    <w:rsid w:val="00065961"/>
    <w:pPr>
      <w:numPr>
        <w:ilvl w:val="1"/>
        <w:numId w:val="2"/>
      </w:numPr>
      <w:spacing w:after="0"/>
      <w:ind w:left="1469"/>
      <w:jc w:val="both"/>
    </w:pPr>
  </w:style>
  <w:style w:type="character" w:customStyle="1" w:styleId="ListParagraphLevel2Char">
    <w:name w:val="List Paragraph Level 2 Char"/>
    <w:basedOn w:val="DefaultParagraphFont"/>
    <w:link w:val="ListParagraphLevel2"/>
    <w:rsid w:val="00065961"/>
    <w:rPr>
      <w:rFonts w:ascii="Calibri" w:hAnsi="Calibri" w:cs="Times New Roman"/>
    </w:rPr>
  </w:style>
  <w:style w:type="paragraph" w:styleId="TOC1">
    <w:name w:val="toc 1"/>
    <w:basedOn w:val="Normal"/>
    <w:next w:val="Normal"/>
    <w:autoRedefine/>
    <w:uiPriority w:val="39"/>
    <w:unhideWhenUsed/>
    <w:rsid w:val="00E67283"/>
    <w:pPr>
      <w:tabs>
        <w:tab w:val="right" w:leader="dot" w:pos="9017"/>
      </w:tabs>
      <w:spacing w:after="100"/>
    </w:pPr>
    <w:rPr>
      <w:b/>
      <w:noProof/>
      <w:color w:val="800000" w:themeColor="accent1"/>
    </w:rPr>
  </w:style>
  <w:style w:type="paragraph" w:styleId="TOC2">
    <w:name w:val="toc 2"/>
    <w:basedOn w:val="Normal"/>
    <w:next w:val="Normal"/>
    <w:autoRedefine/>
    <w:uiPriority w:val="39"/>
    <w:unhideWhenUsed/>
    <w:rsid w:val="001B6F78"/>
    <w:pPr>
      <w:spacing w:after="100"/>
      <w:ind w:left="220"/>
    </w:pPr>
  </w:style>
  <w:style w:type="character" w:styleId="Hyperlink">
    <w:name w:val="Hyperlink"/>
    <w:basedOn w:val="DefaultParagraphFont"/>
    <w:uiPriority w:val="99"/>
    <w:unhideWhenUsed/>
    <w:rsid w:val="001B6F78"/>
    <w:rPr>
      <w:color w:val="0B1F65" w:themeColor="hyperlink"/>
      <w:u w:val="single"/>
    </w:rPr>
  </w:style>
  <w:style w:type="table" w:customStyle="1" w:styleId="MuSigma">
    <w:name w:val="Mu Sigma"/>
    <w:basedOn w:val="TableNormal"/>
    <w:uiPriority w:val="99"/>
    <w:rsid w:val="00DE281B"/>
    <w:pPr>
      <w:spacing w:after="0" w:line="240" w:lineRule="auto"/>
    </w:pPr>
    <w:rPr>
      <w:rFonts w:ascii="Calibri" w:hAnsi="Calibri"/>
    </w:rPr>
    <w:tblPr>
      <w:tblStyleRowBandSize w:val="1"/>
    </w:tblPr>
    <w:tblStylePr w:type="firstRow">
      <w:rPr>
        <w:b/>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0000" w:themeFill="accent1"/>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BCB"/>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7E7"/>
      </w:tcPr>
    </w:tblStylePr>
  </w:style>
  <w:style w:type="character" w:styleId="UnresolvedMention">
    <w:name w:val="Unresolved Mention"/>
    <w:basedOn w:val="DefaultParagraphFont"/>
    <w:uiPriority w:val="99"/>
    <w:semiHidden/>
    <w:unhideWhenUsed/>
    <w:rsid w:val="002C032E"/>
    <w:rPr>
      <w:color w:val="808080"/>
      <w:shd w:val="clear" w:color="auto" w:fill="E6E6E6"/>
    </w:rPr>
  </w:style>
  <w:style w:type="paragraph" w:customStyle="1" w:styleId="lead">
    <w:name w:val="lead"/>
    <w:basedOn w:val="Normal"/>
    <w:rsid w:val="00934E55"/>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79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listtext">
    <w:name w:val="content-list__text"/>
    <w:basedOn w:val="DefaultParagraphFont"/>
    <w:rsid w:val="00017645"/>
  </w:style>
  <w:style w:type="character" w:customStyle="1" w:styleId="figure-captionpre-hover">
    <w:name w:val="figure-caption__pre-hover"/>
    <w:basedOn w:val="DefaultParagraphFont"/>
    <w:rsid w:val="00017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9670">
      <w:bodyDiv w:val="1"/>
      <w:marLeft w:val="0"/>
      <w:marRight w:val="0"/>
      <w:marTop w:val="0"/>
      <w:marBottom w:val="0"/>
      <w:divBdr>
        <w:top w:val="none" w:sz="0" w:space="0" w:color="auto"/>
        <w:left w:val="none" w:sz="0" w:space="0" w:color="auto"/>
        <w:bottom w:val="none" w:sz="0" w:space="0" w:color="auto"/>
        <w:right w:val="none" w:sz="0" w:space="0" w:color="auto"/>
      </w:divBdr>
    </w:div>
    <w:div w:id="48500872">
      <w:bodyDiv w:val="1"/>
      <w:marLeft w:val="0"/>
      <w:marRight w:val="0"/>
      <w:marTop w:val="0"/>
      <w:marBottom w:val="0"/>
      <w:divBdr>
        <w:top w:val="none" w:sz="0" w:space="0" w:color="auto"/>
        <w:left w:val="none" w:sz="0" w:space="0" w:color="auto"/>
        <w:bottom w:val="none" w:sz="0" w:space="0" w:color="auto"/>
        <w:right w:val="none" w:sz="0" w:space="0" w:color="auto"/>
      </w:divBdr>
      <w:divsChild>
        <w:div w:id="1537232912">
          <w:marLeft w:val="446"/>
          <w:marRight w:val="0"/>
          <w:marTop w:val="34"/>
          <w:marBottom w:val="0"/>
          <w:divBdr>
            <w:top w:val="none" w:sz="0" w:space="0" w:color="auto"/>
            <w:left w:val="none" w:sz="0" w:space="0" w:color="auto"/>
            <w:bottom w:val="none" w:sz="0" w:space="0" w:color="auto"/>
            <w:right w:val="none" w:sz="0" w:space="0" w:color="auto"/>
          </w:divBdr>
        </w:div>
      </w:divsChild>
    </w:div>
    <w:div w:id="95104616">
      <w:bodyDiv w:val="1"/>
      <w:marLeft w:val="0"/>
      <w:marRight w:val="0"/>
      <w:marTop w:val="0"/>
      <w:marBottom w:val="0"/>
      <w:divBdr>
        <w:top w:val="none" w:sz="0" w:space="0" w:color="auto"/>
        <w:left w:val="none" w:sz="0" w:space="0" w:color="auto"/>
        <w:bottom w:val="none" w:sz="0" w:space="0" w:color="auto"/>
        <w:right w:val="none" w:sz="0" w:space="0" w:color="auto"/>
      </w:divBdr>
      <w:divsChild>
        <w:div w:id="1275987191">
          <w:marLeft w:val="720"/>
          <w:marRight w:val="0"/>
          <w:marTop w:val="134"/>
          <w:marBottom w:val="0"/>
          <w:divBdr>
            <w:top w:val="none" w:sz="0" w:space="0" w:color="auto"/>
            <w:left w:val="none" w:sz="0" w:space="0" w:color="auto"/>
            <w:bottom w:val="none" w:sz="0" w:space="0" w:color="auto"/>
            <w:right w:val="none" w:sz="0" w:space="0" w:color="auto"/>
          </w:divBdr>
        </w:div>
        <w:div w:id="1665889789">
          <w:marLeft w:val="720"/>
          <w:marRight w:val="0"/>
          <w:marTop w:val="134"/>
          <w:marBottom w:val="0"/>
          <w:divBdr>
            <w:top w:val="none" w:sz="0" w:space="0" w:color="auto"/>
            <w:left w:val="none" w:sz="0" w:space="0" w:color="auto"/>
            <w:bottom w:val="none" w:sz="0" w:space="0" w:color="auto"/>
            <w:right w:val="none" w:sz="0" w:space="0" w:color="auto"/>
          </w:divBdr>
        </w:div>
      </w:divsChild>
    </w:div>
    <w:div w:id="101924298">
      <w:bodyDiv w:val="1"/>
      <w:marLeft w:val="0"/>
      <w:marRight w:val="0"/>
      <w:marTop w:val="0"/>
      <w:marBottom w:val="0"/>
      <w:divBdr>
        <w:top w:val="none" w:sz="0" w:space="0" w:color="auto"/>
        <w:left w:val="none" w:sz="0" w:space="0" w:color="auto"/>
        <w:bottom w:val="none" w:sz="0" w:space="0" w:color="auto"/>
        <w:right w:val="none" w:sz="0" w:space="0" w:color="auto"/>
      </w:divBdr>
    </w:div>
    <w:div w:id="141820290">
      <w:bodyDiv w:val="1"/>
      <w:marLeft w:val="0"/>
      <w:marRight w:val="0"/>
      <w:marTop w:val="0"/>
      <w:marBottom w:val="0"/>
      <w:divBdr>
        <w:top w:val="none" w:sz="0" w:space="0" w:color="auto"/>
        <w:left w:val="none" w:sz="0" w:space="0" w:color="auto"/>
        <w:bottom w:val="none" w:sz="0" w:space="0" w:color="auto"/>
        <w:right w:val="none" w:sz="0" w:space="0" w:color="auto"/>
      </w:divBdr>
    </w:div>
    <w:div w:id="374627206">
      <w:bodyDiv w:val="1"/>
      <w:marLeft w:val="0"/>
      <w:marRight w:val="0"/>
      <w:marTop w:val="0"/>
      <w:marBottom w:val="0"/>
      <w:divBdr>
        <w:top w:val="none" w:sz="0" w:space="0" w:color="auto"/>
        <w:left w:val="none" w:sz="0" w:space="0" w:color="auto"/>
        <w:bottom w:val="none" w:sz="0" w:space="0" w:color="auto"/>
        <w:right w:val="none" w:sz="0" w:space="0" w:color="auto"/>
      </w:divBdr>
    </w:div>
    <w:div w:id="413816975">
      <w:bodyDiv w:val="1"/>
      <w:marLeft w:val="0"/>
      <w:marRight w:val="0"/>
      <w:marTop w:val="0"/>
      <w:marBottom w:val="0"/>
      <w:divBdr>
        <w:top w:val="none" w:sz="0" w:space="0" w:color="auto"/>
        <w:left w:val="none" w:sz="0" w:space="0" w:color="auto"/>
        <w:bottom w:val="none" w:sz="0" w:space="0" w:color="auto"/>
        <w:right w:val="none" w:sz="0" w:space="0" w:color="auto"/>
      </w:divBdr>
    </w:div>
    <w:div w:id="528568335">
      <w:bodyDiv w:val="1"/>
      <w:marLeft w:val="0"/>
      <w:marRight w:val="0"/>
      <w:marTop w:val="0"/>
      <w:marBottom w:val="0"/>
      <w:divBdr>
        <w:top w:val="none" w:sz="0" w:space="0" w:color="auto"/>
        <w:left w:val="none" w:sz="0" w:space="0" w:color="auto"/>
        <w:bottom w:val="none" w:sz="0" w:space="0" w:color="auto"/>
        <w:right w:val="none" w:sz="0" w:space="0" w:color="auto"/>
      </w:divBdr>
    </w:div>
    <w:div w:id="529034238">
      <w:bodyDiv w:val="1"/>
      <w:marLeft w:val="0"/>
      <w:marRight w:val="0"/>
      <w:marTop w:val="0"/>
      <w:marBottom w:val="0"/>
      <w:divBdr>
        <w:top w:val="none" w:sz="0" w:space="0" w:color="auto"/>
        <w:left w:val="none" w:sz="0" w:space="0" w:color="auto"/>
        <w:bottom w:val="none" w:sz="0" w:space="0" w:color="auto"/>
        <w:right w:val="none" w:sz="0" w:space="0" w:color="auto"/>
      </w:divBdr>
    </w:div>
    <w:div w:id="602301825">
      <w:bodyDiv w:val="1"/>
      <w:marLeft w:val="0"/>
      <w:marRight w:val="0"/>
      <w:marTop w:val="0"/>
      <w:marBottom w:val="0"/>
      <w:divBdr>
        <w:top w:val="none" w:sz="0" w:space="0" w:color="auto"/>
        <w:left w:val="none" w:sz="0" w:space="0" w:color="auto"/>
        <w:bottom w:val="none" w:sz="0" w:space="0" w:color="auto"/>
        <w:right w:val="none" w:sz="0" w:space="0" w:color="auto"/>
      </w:divBdr>
    </w:div>
    <w:div w:id="621766929">
      <w:bodyDiv w:val="1"/>
      <w:marLeft w:val="0"/>
      <w:marRight w:val="0"/>
      <w:marTop w:val="0"/>
      <w:marBottom w:val="0"/>
      <w:divBdr>
        <w:top w:val="none" w:sz="0" w:space="0" w:color="auto"/>
        <w:left w:val="none" w:sz="0" w:space="0" w:color="auto"/>
        <w:bottom w:val="none" w:sz="0" w:space="0" w:color="auto"/>
        <w:right w:val="none" w:sz="0" w:space="0" w:color="auto"/>
      </w:divBdr>
    </w:div>
    <w:div w:id="692805872">
      <w:bodyDiv w:val="1"/>
      <w:marLeft w:val="0"/>
      <w:marRight w:val="0"/>
      <w:marTop w:val="0"/>
      <w:marBottom w:val="0"/>
      <w:divBdr>
        <w:top w:val="none" w:sz="0" w:space="0" w:color="auto"/>
        <w:left w:val="none" w:sz="0" w:space="0" w:color="auto"/>
        <w:bottom w:val="none" w:sz="0" w:space="0" w:color="auto"/>
        <w:right w:val="none" w:sz="0" w:space="0" w:color="auto"/>
      </w:divBdr>
    </w:div>
    <w:div w:id="710113500">
      <w:bodyDiv w:val="1"/>
      <w:marLeft w:val="0"/>
      <w:marRight w:val="0"/>
      <w:marTop w:val="0"/>
      <w:marBottom w:val="0"/>
      <w:divBdr>
        <w:top w:val="none" w:sz="0" w:space="0" w:color="auto"/>
        <w:left w:val="none" w:sz="0" w:space="0" w:color="auto"/>
        <w:bottom w:val="none" w:sz="0" w:space="0" w:color="auto"/>
        <w:right w:val="none" w:sz="0" w:space="0" w:color="auto"/>
      </w:divBdr>
    </w:div>
    <w:div w:id="735204319">
      <w:bodyDiv w:val="1"/>
      <w:marLeft w:val="0"/>
      <w:marRight w:val="0"/>
      <w:marTop w:val="0"/>
      <w:marBottom w:val="0"/>
      <w:divBdr>
        <w:top w:val="none" w:sz="0" w:space="0" w:color="auto"/>
        <w:left w:val="none" w:sz="0" w:space="0" w:color="auto"/>
        <w:bottom w:val="none" w:sz="0" w:space="0" w:color="auto"/>
        <w:right w:val="none" w:sz="0" w:space="0" w:color="auto"/>
      </w:divBdr>
    </w:div>
    <w:div w:id="874342805">
      <w:bodyDiv w:val="1"/>
      <w:marLeft w:val="0"/>
      <w:marRight w:val="0"/>
      <w:marTop w:val="0"/>
      <w:marBottom w:val="0"/>
      <w:divBdr>
        <w:top w:val="none" w:sz="0" w:space="0" w:color="auto"/>
        <w:left w:val="none" w:sz="0" w:space="0" w:color="auto"/>
        <w:bottom w:val="none" w:sz="0" w:space="0" w:color="auto"/>
        <w:right w:val="none" w:sz="0" w:space="0" w:color="auto"/>
      </w:divBdr>
    </w:div>
    <w:div w:id="969937705">
      <w:bodyDiv w:val="1"/>
      <w:marLeft w:val="0"/>
      <w:marRight w:val="0"/>
      <w:marTop w:val="0"/>
      <w:marBottom w:val="0"/>
      <w:divBdr>
        <w:top w:val="none" w:sz="0" w:space="0" w:color="auto"/>
        <w:left w:val="none" w:sz="0" w:space="0" w:color="auto"/>
        <w:bottom w:val="none" w:sz="0" w:space="0" w:color="auto"/>
        <w:right w:val="none" w:sz="0" w:space="0" w:color="auto"/>
      </w:divBdr>
      <w:divsChild>
        <w:div w:id="858542057">
          <w:marLeft w:val="0"/>
          <w:marRight w:val="0"/>
          <w:marTop w:val="0"/>
          <w:marBottom w:val="0"/>
          <w:divBdr>
            <w:top w:val="none" w:sz="0" w:space="0" w:color="auto"/>
            <w:left w:val="none" w:sz="0" w:space="0" w:color="auto"/>
            <w:bottom w:val="none" w:sz="0" w:space="0" w:color="auto"/>
            <w:right w:val="none" w:sz="0" w:space="0" w:color="auto"/>
          </w:divBdr>
          <w:divsChild>
            <w:div w:id="1993678695">
              <w:marLeft w:val="0"/>
              <w:marRight w:val="0"/>
              <w:marTop w:val="0"/>
              <w:marBottom w:val="0"/>
              <w:divBdr>
                <w:top w:val="none" w:sz="0" w:space="0" w:color="auto"/>
                <w:left w:val="none" w:sz="0" w:space="0" w:color="auto"/>
                <w:bottom w:val="none" w:sz="0" w:space="0" w:color="auto"/>
                <w:right w:val="none" w:sz="0" w:space="0" w:color="auto"/>
              </w:divBdr>
              <w:divsChild>
                <w:div w:id="2059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2690">
      <w:bodyDiv w:val="1"/>
      <w:marLeft w:val="0"/>
      <w:marRight w:val="0"/>
      <w:marTop w:val="0"/>
      <w:marBottom w:val="0"/>
      <w:divBdr>
        <w:top w:val="none" w:sz="0" w:space="0" w:color="auto"/>
        <w:left w:val="none" w:sz="0" w:space="0" w:color="auto"/>
        <w:bottom w:val="none" w:sz="0" w:space="0" w:color="auto"/>
        <w:right w:val="none" w:sz="0" w:space="0" w:color="auto"/>
      </w:divBdr>
    </w:div>
    <w:div w:id="988049453">
      <w:bodyDiv w:val="1"/>
      <w:marLeft w:val="0"/>
      <w:marRight w:val="0"/>
      <w:marTop w:val="0"/>
      <w:marBottom w:val="0"/>
      <w:divBdr>
        <w:top w:val="none" w:sz="0" w:space="0" w:color="auto"/>
        <w:left w:val="none" w:sz="0" w:space="0" w:color="auto"/>
        <w:bottom w:val="none" w:sz="0" w:space="0" w:color="auto"/>
        <w:right w:val="none" w:sz="0" w:space="0" w:color="auto"/>
      </w:divBdr>
      <w:divsChild>
        <w:div w:id="159853972">
          <w:marLeft w:val="0"/>
          <w:marRight w:val="0"/>
          <w:marTop w:val="0"/>
          <w:marBottom w:val="0"/>
          <w:divBdr>
            <w:top w:val="none" w:sz="0" w:space="0" w:color="auto"/>
            <w:left w:val="none" w:sz="0" w:space="0" w:color="auto"/>
            <w:bottom w:val="none" w:sz="0" w:space="0" w:color="auto"/>
            <w:right w:val="none" w:sz="0" w:space="0" w:color="auto"/>
          </w:divBdr>
          <w:divsChild>
            <w:div w:id="299501522">
              <w:marLeft w:val="0"/>
              <w:marRight w:val="0"/>
              <w:marTop w:val="0"/>
              <w:marBottom w:val="0"/>
              <w:divBdr>
                <w:top w:val="none" w:sz="0" w:space="0" w:color="auto"/>
                <w:left w:val="none" w:sz="0" w:space="0" w:color="auto"/>
                <w:bottom w:val="none" w:sz="0" w:space="0" w:color="auto"/>
                <w:right w:val="none" w:sz="0" w:space="0" w:color="auto"/>
              </w:divBdr>
            </w:div>
          </w:divsChild>
        </w:div>
        <w:div w:id="734166193">
          <w:marLeft w:val="0"/>
          <w:marRight w:val="0"/>
          <w:marTop w:val="0"/>
          <w:marBottom w:val="0"/>
          <w:divBdr>
            <w:top w:val="none" w:sz="0" w:space="0" w:color="auto"/>
            <w:left w:val="none" w:sz="0" w:space="0" w:color="auto"/>
            <w:bottom w:val="none" w:sz="0" w:space="0" w:color="auto"/>
            <w:right w:val="none" w:sz="0" w:space="0" w:color="auto"/>
          </w:divBdr>
        </w:div>
        <w:div w:id="1348286514">
          <w:marLeft w:val="0"/>
          <w:marRight w:val="0"/>
          <w:marTop w:val="0"/>
          <w:marBottom w:val="0"/>
          <w:divBdr>
            <w:top w:val="none" w:sz="0" w:space="0" w:color="auto"/>
            <w:left w:val="none" w:sz="0" w:space="0" w:color="auto"/>
            <w:bottom w:val="none" w:sz="0" w:space="0" w:color="auto"/>
            <w:right w:val="none" w:sz="0" w:space="0" w:color="auto"/>
          </w:divBdr>
        </w:div>
        <w:div w:id="1945064901">
          <w:marLeft w:val="0"/>
          <w:marRight w:val="0"/>
          <w:marTop w:val="0"/>
          <w:marBottom w:val="0"/>
          <w:divBdr>
            <w:top w:val="none" w:sz="0" w:space="0" w:color="auto"/>
            <w:left w:val="none" w:sz="0" w:space="0" w:color="auto"/>
            <w:bottom w:val="none" w:sz="0" w:space="0" w:color="auto"/>
            <w:right w:val="none" w:sz="0" w:space="0" w:color="auto"/>
          </w:divBdr>
        </w:div>
        <w:div w:id="268584731">
          <w:marLeft w:val="0"/>
          <w:marRight w:val="0"/>
          <w:marTop w:val="0"/>
          <w:marBottom w:val="0"/>
          <w:divBdr>
            <w:top w:val="none" w:sz="0" w:space="0" w:color="auto"/>
            <w:left w:val="none" w:sz="0" w:space="0" w:color="auto"/>
            <w:bottom w:val="none" w:sz="0" w:space="0" w:color="auto"/>
            <w:right w:val="none" w:sz="0" w:space="0" w:color="auto"/>
          </w:divBdr>
        </w:div>
        <w:div w:id="1656955421">
          <w:marLeft w:val="0"/>
          <w:marRight w:val="0"/>
          <w:marTop w:val="0"/>
          <w:marBottom w:val="0"/>
          <w:divBdr>
            <w:top w:val="none" w:sz="0" w:space="0" w:color="auto"/>
            <w:left w:val="none" w:sz="0" w:space="0" w:color="auto"/>
            <w:bottom w:val="none" w:sz="0" w:space="0" w:color="auto"/>
            <w:right w:val="none" w:sz="0" w:space="0" w:color="auto"/>
          </w:divBdr>
        </w:div>
        <w:div w:id="1453013438">
          <w:marLeft w:val="0"/>
          <w:marRight w:val="0"/>
          <w:marTop w:val="0"/>
          <w:marBottom w:val="0"/>
          <w:divBdr>
            <w:top w:val="none" w:sz="0" w:space="0" w:color="auto"/>
            <w:left w:val="none" w:sz="0" w:space="0" w:color="auto"/>
            <w:bottom w:val="none" w:sz="0" w:space="0" w:color="auto"/>
            <w:right w:val="none" w:sz="0" w:space="0" w:color="auto"/>
          </w:divBdr>
        </w:div>
        <w:div w:id="1427262969">
          <w:marLeft w:val="0"/>
          <w:marRight w:val="0"/>
          <w:marTop w:val="0"/>
          <w:marBottom w:val="0"/>
          <w:divBdr>
            <w:top w:val="none" w:sz="0" w:space="0" w:color="auto"/>
            <w:left w:val="none" w:sz="0" w:space="0" w:color="auto"/>
            <w:bottom w:val="none" w:sz="0" w:space="0" w:color="auto"/>
            <w:right w:val="none" w:sz="0" w:space="0" w:color="auto"/>
          </w:divBdr>
        </w:div>
        <w:div w:id="1795102903">
          <w:marLeft w:val="0"/>
          <w:marRight w:val="0"/>
          <w:marTop w:val="0"/>
          <w:marBottom w:val="0"/>
          <w:divBdr>
            <w:top w:val="none" w:sz="0" w:space="0" w:color="auto"/>
            <w:left w:val="none" w:sz="0" w:space="0" w:color="auto"/>
            <w:bottom w:val="none" w:sz="0" w:space="0" w:color="auto"/>
            <w:right w:val="none" w:sz="0" w:space="0" w:color="auto"/>
          </w:divBdr>
        </w:div>
      </w:divsChild>
    </w:div>
    <w:div w:id="1123232058">
      <w:bodyDiv w:val="1"/>
      <w:marLeft w:val="0"/>
      <w:marRight w:val="0"/>
      <w:marTop w:val="0"/>
      <w:marBottom w:val="0"/>
      <w:divBdr>
        <w:top w:val="none" w:sz="0" w:space="0" w:color="auto"/>
        <w:left w:val="none" w:sz="0" w:space="0" w:color="auto"/>
        <w:bottom w:val="none" w:sz="0" w:space="0" w:color="auto"/>
        <w:right w:val="none" w:sz="0" w:space="0" w:color="auto"/>
      </w:divBdr>
      <w:divsChild>
        <w:div w:id="1673534201">
          <w:marLeft w:val="0"/>
          <w:marRight w:val="0"/>
          <w:marTop w:val="0"/>
          <w:marBottom w:val="0"/>
          <w:divBdr>
            <w:top w:val="none" w:sz="0" w:space="0" w:color="auto"/>
            <w:left w:val="none" w:sz="0" w:space="0" w:color="auto"/>
            <w:bottom w:val="none" w:sz="0" w:space="0" w:color="auto"/>
            <w:right w:val="none" w:sz="0" w:space="0" w:color="auto"/>
          </w:divBdr>
          <w:divsChild>
            <w:div w:id="639071079">
              <w:marLeft w:val="0"/>
              <w:marRight w:val="0"/>
              <w:marTop w:val="0"/>
              <w:marBottom w:val="0"/>
              <w:divBdr>
                <w:top w:val="none" w:sz="0" w:space="0" w:color="auto"/>
                <w:left w:val="none" w:sz="0" w:space="0" w:color="auto"/>
                <w:bottom w:val="none" w:sz="0" w:space="0" w:color="auto"/>
                <w:right w:val="none" w:sz="0" w:space="0" w:color="auto"/>
              </w:divBdr>
              <w:divsChild>
                <w:div w:id="14665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46203">
      <w:bodyDiv w:val="1"/>
      <w:marLeft w:val="0"/>
      <w:marRight w:val="0"/>
      <w:marTop w:val="0"/>
      <w:marBottom w:val="0"/>
      <w:divBdr>
        <w:top w:val="none" w:sz="0" w:space="0" w:color="auto"/>
        <w:left w:val="none" w:sz="0" w:space="0" w:color="auto"/>
        <w:bottom w:val="none" w:sz="0" w:space="0" w:color="auto"/>
        <w:right w:val="none" w:sz="0" w:space="0" w:color="auto"/>
      </w:divBdr>
    </w:div>
    <w:div w:id="1131167350">
      <w:bodyDiv w:val="1"/>
      <w:marLeft w:val="0"/>
      <w:marRight w:val="0"/>
      <w:marTop w:val="0"/>
      <w:marBottom w:val="0"/>
      <w:divBdr>
        <w:top w:val="none" w:sz="0" w:space="0" w:color="auto"/>
        <w:left w:val="none" w:sz="0" w:space="0" w:color="auto"/>
        <w:bottom w:val="none" w:sz="0" w:space="0" w:color="auto"/>
        <w:right w:val="none" w:sz="0" w:space="0" w:color="auto"/>
      </w:divBdr>
    </w:div>
    <w:div w:id="1257905068">
      <w:bodyDiv w:val="1"/>
      <w:marLeft w:val="0"/>
      <w:marRight w:val="0"/>
      <w:marTop w:val="0"/>
      <w:marBottom w:val="0"/>
      <w:divBdr>
        <w:top w:val="none" w:sz="0" w:space="0" w:color="auto"/>
        <w:left w:val="none" w:sz="0" w:space="0" w:color="auto"/>
        <w:bottom w:val="none" w:sz="0" w:space="0" w:color="auto"/>
        <w:right w:val="none" w:sz="0" w:space="0" w:color="auto"/>
      </w:divBdr>
    </w:div>
    <w:div w:id="1409960061">
      <w:bodyDiv w:val="1"/>
      <w:marLeft w:val="0"/>
      <w:marRight w:val="0"/>
      <w:marTop w:val="0"/>
      <w:marBottom w:val="0"/>
      <w:divBdr>
        <w:top w:val="none" w:sz="0" w:space="0" w:color="auto"/>
        <w:left w:val="none" w:sz="0" w:space="0" w:color="auto"/>
        <w:bottom w:val="none" w:sz="0" w:space="0" w:color="auto"/>
        <w:right w:val="none" w:sz="0" w:space="0" w:color="auto"/>
      </w:divBdr>
    </w:div>
    <w:div w:id="1422529768">
      <w:bodyDiv w:val="1"/>
      <w:marLeft w:val="0"/>
      <w:marRight w:val="0"/>
      <w:marTop w:val="0"/>
      <w:marBottom w:val="0"/>
      <w:divBdr>
        <w:top w:val="none" w:sz="0" w:space="0" w:color="auto"/>
        <w:left w:val="none" w:sz="0" w:space="0" w:color="auto"/>
        <w:bottom w:val="none" w:sz="0" w:space="0" w:color="auto"/>
        <w:right w:val="none" w:sz="0" w:space="0" w:color="auto"/>
      </w:divBdr>
    </w:div>
    <w:div w:id="1523199836">
      <w:bodyDiv w:val="1"/>
      <w:marLeft w:val="0"/>
      <w:marRight w:val="0"/>
      <w:marTop w:val="0"/>
      <w:marBottom w:val="0"/>
      <w:divBdr>
        <w:top w:val="none" w:sz="0" w:space="0" w:color="auto"/>
        <w:left w:val="none" w:sz="0" w:space="0" w:color="auto"/>
        <w:bottom w:val="none" w:sz="0" w:space="0" w:color="auto"/>
        <w:right w:val="none" w:sz="0" w:space="0" w:color="auto"/>
      </w:divBdr>
    </w:div>
    <w:div w:id="1526752448">
      <w:bodyDiv w:val="1"/>
      <w:marLeft w:val="0"/>
      <w:marRight w:val="0"/>
      <w:marTop w:val="0"/>
      <w:marBottom w:val="0"/>
      <w:divBdr>
        <w:top w:val="none" w:sz="0" w:space="0" w:color="auto"/>
        <w:left w:val="none" w:sz="0" w:space="0" w:color="auto"/>
        <w:bottom w:val="none" w:sz="0" w:space="0" w:color="auto"/>
        <w:right w:val="none" w:sz="0" w:space="0" w:color="auto"/>
      </w:divBdr>
    </w:div>
    <w:div w:id="1581063847">
      <w:bodyDiv w:val="1"/>
      <w:marLeft w:val="0"/>
      <w:marRight w:val="0"/>
      <w:marTop w:val="0"/>
      <w:marBottom w:val="0"/>
      <w:divBdr>
        <w:top w:val="none" w:sz="0" w:space="0" w:color="auto"/>
        <w:left w:val="none" w:sz="0" w:space="0" w:color="auto"/>
        <w:bottom w:val="none" w:sz="0" w:space="0" w:color="auto"/>
        <w:right w:val="none" w:sz="0" w:space="0" w:color="auto"/>
      </w:divBdr>
    </w:div>
    <w:div w:id="1718582760">
      <w:bodyDiv w:val="1"/>
      <w:marLeft w:val="0"/>
      <w:marRight w:val="0"/>
      <w:marTop w:val="0"/>
      <w:marBottom w:val="0"/>
      <w:divBdr>
        <w:top w:val="none" w:sz="0" w:space="0" w:color="auto"/>
        <w:left w:val="none" w:sz="0" w:space="0" w:color="auto"/>
        <w:bottom w:val="none" w:sz="0" w:space="0" w:color="auto"/>
        <w:right w:val="none" w:sz="0" w:space="0" w:color="auto"/>
      </w:divBdr>
    </w:div>
    <w:div w:id="1731342509">
      <w:bodyDiv w:val="1"/>
      <w:marLeft w:val="0"/>
      <w:marRight w:val="0"/>
      <w:marTop w:val="0"/>
      <w:marBottom w:val="0"/>
      <w:divBdr>
        <w:top w:val="none" w:sz="0" w:space="0" w:color="auto"/>
        <w:left w:val="none" w:sz="0" w:space="0" w:color="auto"/>
        <w:bottom w:val="none" w:sz="0" w:space="0" w:color="auto"/>
        <w:right w:val="none" w:sz="0" w:space="0" w:color="auto"/>
      </w:divBdr>
    </w:div>
    <w:div w:id="1732657764">
      <w:bodyDiv w:val="1"/>
      <w:marLeft w:val="0"/>
      <w:marRight w:val="0"/>
      <w:marTop w:val="0"/>
      <w:marBottom w:val="0"/>
      <w:divBdr>
        <w:top w:val="none" w:sz="0" w:space="0" w:color="auto"/>
        <w:left w:val="none" w:sz="0" w:space="0" w:color="auto"/>
        <w:bottom w:val="none" w:sz="0" w:space="0" w:color="auto"/>
        <w:right w:val="none" w:sz="0" w:space="0" w:color="auto"/>
      </w:divBdr>
      <w:divsChild>
        <w:div w:id="941031631">
          <w:marLeft w:val="446"/>
          <w:marRight w:val="0"/>
          <w:marTop w:val="34"/>
          <w:marBottom w:val="0"/>
          <w:divBdr>
            <w:top w:val="none" w:sz="0" w:space="0" w:color="auto"/>
            <w:left w:val="none" w:sz="0" w:space="0" w:color="auto"/>
            <w:bottom w:val="none" w:sz="0" w:space="0" w:color="auto"/>
            <w:right w:val="none" w:sz="0" w:space="0" w:color="auto"/>
          </w:divBdr>
        </w:div>
        <w:div w:id="1369136541">
          <w:marLeft w:val="446"/>
          <w:marRight w:val="0"/>
          <w:marTop w:val="34"/>
          <w:marBottom w:val="0"/>
          <w:divBdr>
            <w:top w:val="none" w:sz="0" w:space="0" w:color="auto"/>
            <w:left w:val="none" w:sz="0" w:space="0" w:color="auto"/>
            <w:bottom w:val="none" w:sz="0" w:space="0" w:color="auto"/>
            <w:right w:val="none" w:sz="0" w:space="0" w:color="auto"/>
          </w:divBdr>
        </w:div>
      </w:divsChild>
    </w:div>
    <w:div w:id="1825469622">
      <w:bodyDiv w:val="1"/>
      <w:marLeft w:val="0"/>
      <w:marRight w:val="0"/>
      <w:marTop w:val="0"/>
      <w:marBottom w:val="0"/>
      <w:divBdr>
        <w:top w:val="none" w:sz="0" w:space="0" w:color="auto"/>
        <w:left w:val="none" w:sz="0" w:space="0" w:color="auto"/>
        <w:bottom w:val="none" w:sz="0" w:space="0" w:color="auto"/>
        <w:right w:val="none" w:sz="0" w:space="0" w:color="auto"/>
      </w:divBdr>
    </w:div>
    <w:div w:id="1858501076">
      <w:bodyDiv w:val="1"/>
      <w:marLeft w:val="0"/>
      <w:marRight w:val="0"/>
      <w:marTop w:val="0"/>
      <w:marBottom w:val="0"/>
      <w:divBdr>
        <w:top w:val="none" w:sz="0" w:space="0" w:color="auto"/>
        <w:left w:val="none" w:sz="0" w:space="0" w:color="auto"/>
        <w:bottom w:val="none" w:sz="0" w:space="0" w:color="auto"/>
        <w:right w:val="none" w:sz="0" w:space="0" w:color="auto"/>
      </w:divBdr>
      <w:divsChild>
        <w:div w:id="210699518">
          <w:marLeft w:val="720"/>
          <w:marRight w:val="0"/>
          <w:marTop w:val="134"/>
          <w:marBottom w:val="0"/>
          <w:divBdr>
            <w:top w:val="none" w:sz="0" w:space="0" w:color="auto"/>
            <w:left w:val="none" w:sz="0" w:space="0" w:color="auto"/>
            <w:bottom w:val="none" w:sz="0" w:space="0" w:color="auto"/>
            <w:right w:val="none" w:sz="0" w:space="0" w:color="auto"/>
          </w:divBdr>
        </w:div>
        <w:div w:id="268897041">
          <w:marLeft w:val="720"/>
          <w:marRight w:val="0"/>
          <w:marTop w:val="134"/>
          <w:marBottom w:val="0"/>
          <w:divBdr>
            <w:top w:val="none" w:sz="0" w:space="0" w:color="auto"/>
            <w:left w:val="none" w:sz="0" w:space="0" w:color="auto"/>
            <w:bottom w:val="none" w:sz="0" w:space="0" w:color="auto"/>
            <w:right w:val="none" w:sz="0" w:space="0" w:color="auto"/>
          </w:divBdr>
        </w:div>
        <w:div w:id="2141143975">
          <w:marLeft w:val="720"/>
          <w:marRight w:val="0"/>
          <w:marTop w:val="134"/>
          <w:marBottom w:val="0"/>
          <w:divBdr>
            <w:top w:val="none" w:sz="0" w:space="0" w:color="auto"/>
            <w:left w:val="none" w:sz="0" w:space="0" w:color="auto"/>
            <w:bottom w:val="none" w:sz="0" w:space="0" w:color="auto"/>
            <w:right w:val="none" w:sz="0" w:space="0" w:color="auto"/>
          </w:divBdr>
        </w:div>
      </w:divsChild>
    </w:div>
    <w:div w:id="1860191220">
      <w:bodyDiv w:val="1"/>
      <w:marLeft w:val="0"/>
      <w:marRight w:val="0"/>
      <w:marTop w:val="0"/>
      <w:marBottom w:val="0"/>
      <w:divBdr>
        <w:top w:val="none" w:sz="0" w:space="0" w:color="auto"/>
        <w:left w:val="none" w:sz="0" w:space="0" w:color="auto"/>
        <w:bottom w:val="none" w:sz="0" w:space="0" w:color="auto"/>
        <w:right w:val="none" w:sz="0" w:space="0" w:color="auto"/>
      </w:divBdr>
    </w:div>
    <w:div w:id="1897276725">
      <w:bodyDiv w:val="1"/>
      <w:marLeft w:val="0"/>
      <w:marRight w:val="0"/>
      <w:marTop w:val="0"/>
      <w:marBottom w:val="0"/>
      <w:divBdr>
        <w:top w:val="none" w:sz="0" w:space="0" w:color="auto"/>
        <w:left w:val="none" w:sz="0" w:space="0" w:color="auto"/>
        <w:bottom w:val="none" w:sz="0" w:space="0" w:color="auto"/>
        <w:right w:val="none" w:sz="0" w:space="0" w:color="auto"/>
      </w:divBdr>
      <w:divsChild>
        <w:div w:id="742217558">
          <w:marLeft w:val="446"/>
          <w:marRight w:val="0"/>
          <w:marTop w:val="34"/>
          <w:marBottom w:val="0"/>
          <w:divBdr>
            <w:top w:val="none" w:sz="0" w:space="0" w:color="auto"/>
            <w:left w:val="none" w:sz="0" w:space="0" w:color="auto"/>
            <w:bottom w:val="none" w:sz="0" w:space="0" w:color="auto"/>
            <w:right w:val="none" w:sz="0" w:space="0" w:color="auto"/>
          </w:divBdr>
        </w:div>
        <w:div w:id="2013801081">
          <w:marLeft w:val="446"/>
          <w:marRight w:val="0"/>
          <w:marTop w:val="34"/>
          <w:marBottom w:val="0"/>
          <w:divBdr>
            <w:top w:val="none" w:sz="0" w:space="0" w:color="auto"/>
            <w:left w:val="none" w:sz="0" w:space="0" w:color="auto"/>
            <w:bottom w:val="none" w:sz="0" w:space="0" w:color="auto"/>
            <w:right w:val="none" w:sz="0" w:space="0" w:color="auto"/>
          </w:divBdr>
        </w:div>
      </w:divsChild>
    </w:div>
    <w:div w:id="1903515531">
      <w:bodyDiv w:val="1"/>
      <w:marLeft w:val="0"/>
      <w:marRight w:val="0"/>
      <w:marTop w:val="0"/>
      <w:marBottom w:val="0"/>
      <w:divBdr>
        <w:top w:val="none" w:sz="0" w:space="0" w:color="auto"/>
        <w:left w:val="none" w:sz="0" w:space="0" w:color="auto"/>
        <w:bottom w:val="none" w:sz="0" w:space="0" w:color="auto"/>
        <w:right w:val="none" w:sz="0" w:space="0" w:color="auto"/>
      </w:divBdr>
      <w:divsChild>
        <w:div w:id="332685028">
          <w:marLeft w:val="0"/>
          <w:marRight w:val="0"/>
          <w:marTop w:val="0"/>
          <w:marBottom w:val="0"/>
          <w:divBdr>
            <w:top w:val="none" w:sz="0" w:space="0" w:color="auto"/>
            <w:left w:val="none" w:sz="0" w:space="0" w:color="auto"/>
            <w:bottom w:val="none" w:sz="0" w:space="0" w:color="auto"/>
            <w:right w:val="none" w:sz="0" w:space="0" w:color="auto"/>
          </w:divBdr>
        </w:div>
      </w:divsChild>
    </w:div>
    <w:div w:id="1912351279">
      <w:bodyDiv w:val="1"/>
      <w:marLeft w:val="0"/>
      <w:marRight w:val="0"/>
      <w:marTop w:val="0"/>
      <w:marBottom w:val="0"/>
      <w:divBdr>
        <w:top w:val="none" w:sz="0" w:space="0" w:color="auto"/>
        <w:left w:val="none" w:sz="0" w:space="0" w:color="auto"/>
        <w:bottom w:val="none" w:sz="0" w:space="0" w:color="auto"/>
        <w:right w:val="none" w:sz="0" w:space="0" w:color="auto"/>
      </w:divBdr>
      <w:divsChild>
        <w:div w:id="854079181">
          <w:marLeft w:val="0"/>
          <w:marRight w:val="0"/>
          <w:marTop w:val="0"/>
          <w:marBottom w:val="0"/>
          <w:divBdr>
            <w:top w:val="none" w:sz="0" w:space="0" w:color="auto"/>
            <w:left w:val="none" w:sz="0" w:space="0" w:color="auto"/>
            <w:bottom w:val="none" w:sz="0" w:space="0" w:color="auto"/>
            <w:right w:val="none" w:sz="0" w:space="0" w:color="auto"/>
          </w:divBdr>
          <w:divsChild>
            <w:div w:id="1704480258">
              <w:marLeft w:val="0"/>
              <w:marRight w:val="0"/>
              <w:marTop w:val="0"/>
              <w:marBottom w:val="0"/>
              <w:divBdr>
                <w:top w:val="none" w:sz="0" w:space="0" w:color="auto"/>
                <w:left w:val="none" w:sz="0" w:space="0" w:color="auto"/>
                <w:bottom w:val="none" w:sz="0" w:space="0" w:color="auto"/>
                <w:right w:val="none" w:sz="0" w:space="0" w:color="auto"/>
              </w:divBdr>
              <w:divsChild>
                <w:div w:id="20805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10162">
      <w:bodyDiv w:val="1"/>
      <w:marLeft w:val="0"/>
      <w:marRight w:val="0"/>
      <w:marTop w:val="0"/>
      <w:marBottom w:val="0"/>
      <w:divBdr>
        <w:top w:val="none" w:sz="0" w:space="0" w:color="auto"/>
        <w:left w:val="none" w:sz="0" w:space="0" w:color="auto"/>
        <w:bottom w:val="none" w:sz="0" w:space="0" w:color="auto"/>
        <w:right w:val="none" w:sz="0" w:space="0" w:color="auto"/>
      </w:divBdr>
    </w:div>
    <w:div w:id="1994139967">
      <w:bodyDiv w:val="1"/>
      <w:marLeft w:val="0"/>
      <w:marRight w:val="0"/>
      <w:marTop w:val="0"/>
      <w:marBottom w:val="0"/>
      <w:divBdr>
        <w:top w:val="none" w:sz="0" w:space="0" w:color="auto"/>
        <w:left w:val="none" w:sz="0" w:space="0" w:color="auto"/>
        <w:bottom w:val="none" w:sz="0" w:space="0" w:color="auto"/>
        <w:right w:val="none" w:sz="0" w:space="0" w:color="auto"/>
      </w:divBdr>
    </w:div>
    <w:div w:id="1995522680">
      <w:bodyDiv w:val="1"/>
      <w:marLeft w:val="0"/>
      <w:marRight w:val="0"/>
      <w:marTop w:val="0"/>
      <w:marBottom w:val="0"/>
      <w:divBdr>
        <w:top w:val="none" w:sz="0" w:space="0" w:color="auto"/>
        <w:left w:val="none" w:sz="0" w:space="0" w:color="auto"/>
        <w:bottom w:val="none" w:sz="0" w:space="0" w:color="auto"/>
        <w:right w:val="none" w:sz="0" w:space="0" w:color="auto"/>
      </w:divBdr>
    </w:div>
    <w:div w:id="2013532496">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1">
          <w:marLeft w:val="0"/>
          <w:marRight w:val="0"/>
          <w:marTop w:val="0"/>
          <w:marBottom w:val="0"/>
          <w:divBdr>
            <w:top w:val="none" w:sz="0" w:space="0" w:color="auto"/>
            <w:left w:val="none" w:sz="0" w:space="0" w:color="auto"/>
            <w:bottom w:val="none" w:sz="0" w:space="0" w:color="auto"/>
            <w:right w:val="none" w:sz="0" w:space="0" w:color="auto"/>
          </w:divBdr>
          <w:divsChild>
            <w:div w:id="850682385">
              <w:marLeft w:val="0"/>
              <w:marRight w:val="0"/>
              <w:marTop w:val="0"/>
              <w:marBottom w:val="0"/>
              <w:divBdr>
                <w:top w:val="none" w:sz="0" w:space="0" w:color="auto"/>
                <w:left w:val="none" w:sz="0" w:space="0" w:color="auto"/>
                <w:bottom w:val="none" w:sz="0" w:space="0" w:color="auto"/>
                <w:right w:val="none" w:sz="0" w:space="0" w:color="auto"/>
              </w:divBdr>
              <w:divsChild>
                <w:div w:id="10467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pharmatrend.com/post/60-top-7-trends-in-pharmaceutical-research-in-2018-and-beyond/" TargetMode="External"/><Relationship Id="rId18" Type="http://schemas.openxmlformats.org/officeDocument/2006/relationships/hyperlink" Target="https://www.igeahub.com/2018/03/06/top-10-pharmaceutical-companies-2018/"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n.wikipedia.org/wiki/Pharmaceutical_industry" TargetMode="External"/><Relationship Id="rId7" Type="http://schemas.openxmlformats.org/officeDocument/2006/relationships/footnotes" Target="footnotes.xml"/><Relationship Id="rId12" Type="http://schemas.openxmlformats.org/officeDocument/2006/relationships/hyperlink" Target="https://www.thebalance.com/biotech-4074047" TargetMode="External"/><Relationship Id="rId17" Type="http://schemas.openxmlformats.org/officeDocument/2006/relationships/hyperlink" Target="https://www.sciencedaily.com/terms/pharmaceutical_company.ht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icd10monitor.com/the-role-of-payers-and-providers-in-improving-healthcare-data" TargetMode="External"/><Relationship Id="rId20" Type="http://schemas.openxmlformats.org/officeDocument/2006/relationships/hyperlink" Target="https://www.gsk.com/en-gb/about-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balance.com/what-is-a-biosimilar-drug-4042688"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britannica.com/technology/pharmaceutical-industry"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vetsfirstchoice.com/" TargetMode="External"/><Relationship Id="rId19" Type="http://schemas.openxmlformats.org/officeDocument/2006/relationships/hyperlink" Target="https://www.marketwatch.com/story/pfizer-will-reorganize-into-three-internal-divisions-2018-07-11" TargetMode="External"/><Relationship Id="rId4" Type="http://schemas.openxmlformats.org/officeDocument/2006/relationships/styles" Target="styles.xml"/><Relationship Id="rId9" Type="http://schemas.openxmlformats.org/officeDocument/2006/relationships/hyperlink" Target="https://www.thebalance.com/healthcare-costs-3306068" TargetMode="External"/><Relationship Id="rId14" Type="http://schemas.openxmlformats.org/officeDocument/2006/relationships/hyperlink" Target="https://www.tribecaknowledge.com/blog/7-pharma-trends-for-2017" TargetMode="External"/><Relationship Id="rId22" Type="http://schemas.openxmlformats.org/officeDocument/2006/relationships/hyperlink" Target="https://ldi.upenn.edu/sites/default/files/sumr_docs/Defining%20Pharmaceutical%20Value%20Across%20Stakeholders_Sharonya%20Vadakattu.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uSigma">
  <a:themeElements>
    <a:clrScheme name="Custom 2">
      <a:dk1>
        <a:srgbClr val="000000"/>
      </a:dk1>
      <a:lt1>
        <a:sysClr val="window" lastClr="FFFFFF"/>
      </a:lt1>
      <a:dk2>
        <a:srgbClr val="FF0000"/>
      </a:dk2>
      <a:lt2>
        <a:srgbClr val="00FF00"/>
      </a:lt2>
      <a:accent1>
        <a:srgbClr val="800000"/>
      </a:accent1>
      <a:accent2>
        <a:srgbClr val="006666"/>
      </a:accent2>
      <a:accent3>
        <a:srgbClr val="E2E1C0"/>
      </a:accent3>
      <a:accent4>
        <a:srgbClr val="0B1F65"/>
      </a:accent4>
      <a:accent5>
        <a:srgbClr val="B69404"/>
      </a:accent5>
      <a:accent6>
        <a:srgbClr val="FFFF00"/>
      </a:accent6>
      <a:hlink>
        <a:srgbClr val="0B1F65"/>
      </a:hlink>
      <a:folHlink>
        <a:srgbClr val="800080"/>
      </a:folHlink>
    </a:clrScheme>
    <a:fontScheme name="Global Sourcing KickoffSection 4-Project Approach v5">
      <a:majorFont>
        <a:latin typeface="Arial"/>
        <a:ea typeface=""/>
        <a:cs typeface=""/>
      </a:majorFont>
      <a:minorFont>
        <a:latin typeface="Arial"/>
        <a:ea typeface=""/>
        <a:cs typeface=""/>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noFill/>
          <a:headEnd type="none" w="med" len="med"/>
          <a:tailEnd type="none" w="med" len="med"/>
        </a:ln>
        <a:effectLst>
          <a:outerShdw blurRad="50800" dist="38100" dir="2700000" algn="tl" rotWithShape="0">
            <a:prstClr val="black">
              <a:alpha val="40000"/>
            </a:prstClr>
          </a:outerShdw>
        </a:effectLst>
      </a:spPr>
      <a:bodyPr vert="horz" wrap="none" lIns="45720" tIns="45720" rIns="45720" bIns="45720" numCol="1" rtlCol="0" anchor="ctr" anchorCtr="0" compatLnSpc="1">
        <a:prstTxWarp prst="textNoShape">
          <a:avLst/>
        </a:prstTxWarp>
      </a:bodyPr>
      <a:lstStyle>
        <a:defPPr marL="234950" marR="0" indent="-234950" algn="l" defTabSz="914400" rtl="0" eaLnBrk="1" fontAlgn="base" latinLnBrk="0" hangingPunct="1">
          <a:lnSpc>
            <a:spcPct val="100000"/>
          </a:lnSpc>
          <a:spcBef>
            <a:spcPct val="100000"/>
          </a:spcBef>
          <a:spcAft>
            <a:spcPct val="0"/>
          </a:spcAft>
          <a:buClrTx/>
          <a:buSzTx/>
          <a:buFont typeface="Webdings" pitchFamily="18" charset="2"/>
          <a:buChar char="4"/>
          <a:tabLst/>
          <a:defRPr sz="1600" b="0" dirty="0" err="1" smtClean="0">
            <a:solidFill>
              <a:schemeClr val="tx1"/>
            </a:solidFill>
            <a:latin typeface="+mn-lt"/>
            <a:ea typeface="+mn-ea"/>
            <a:cs typeface="+mn-cs"/>
          </a:defRPr>
        </a:defPPr>
      </a:lstStyle>
      <a:style>
        <a:lnRef idx="3">
          <a:schemeClr val="lt1"/>
        </a:lnRef>
        <a:fillRef idx="1">
          <a:schemeClr val="accent2"/>
        </a:fillRef>
        <a:effectRef idx="1">
          <a:schemeClr val="accent2"/>
        </a:effectRef>
        <a:fontRef idx="minor">
          <a:schemeClr val="lt1"/>
        </a:fontRef>
      </a:style>
    </a:spDef>
    <a:lnDef>
      <a:spPr bwMode="auto">
        <a:xfrm>
          <a:off x="0" y="0"/>
          <a:ext cx="1" cy="1"/>
        </a:xfrm>
        <a:custGeom>
          <a:avLst/>
          <a:gdLst/>
          <a:ahLst/>
          <a:cxnLst/>
          <a:rect l="0" t="0" r="0" b="0"/>
          <a:pathLst/>
        </a:custGeom>
        <a:pattFill prst="pct50">
          <a:fgClr>
            <a:schemeClr val="hlink"/>
          </a:fgClr>
          <a:bgClr>
            <a:srgbClr val="FFFFFF"/>
          </a:bgClr>
        </a:pattFill>
        <a:ln w="9525" cap="flat" cmpd="sng" algn="ctr">
          <a:solidFill>
            <a:schemeClr val="hlink"/>
          </a:solidFill>
          <a:prstDash val="solid"/>
          <a:round/>
          <a:headEnd type="none" w="med" len="med"/>
          <a:tailEnd type="none" w="med" len="med"/>
        </a:ln>
        <a:effectLst/>
      </a:spPr>
      <a:bodyPr vert="horz" wrap="none" lIns="45720" tIns="45720" rIns="45720" bIns="45720" numCol="1" anchor="ctr" anchorCtr="0" compatLnSpc="1">
        <a:prstTxWarp prst="textNoShape">
          <a:avLst/>
        </a:prstTxWarp>
      </a:bodyPr>
      <a:lstStyle>
        <a:defPPr marL="234950" marR="0" indent="-234950" algn="ctr" defTabSz="914400" rtl="0" eaLnBrk="0" fontAlgn="base" latinLnBrk="0" hangingPunct="0">
          <a:lnSpc>
            <a:spcPct val="100000"/>
          </a:lnSpc>
          <a:spcBef>
            <a:spcPct val="10000"/>
          </a:spcBef>
          <a:spcAft>
            <a:spcPct val="0"/>
          </a:spcAft>
          <a:buClr>
            <a:srgbClr val="0B1F65"/>
          </a:buClr>
          <a:buSzTx/>
          <a:buFont typeface="Webdings" pitchFamily="18" charset="2"/>
          <a:buNone/>
          <a:tabLst/>
          <a:defRPr kumimoji="0" lang="en-US" sz="1100" b="0" i="0" u="none" strike="noStrike" cap="none" normalizeH="0" baseline="0" smtClean="0">
            <a:ln>
              <a:noFill/>
            </a:ln>
            <a:solidFill>
              <a:schemeClr val="tx1"/>
            </a:solidFill>
            <a:effectLst/>
            <a:latin typeface="Arial" charset="0"/>
            <a:cs typeface="Times New Roman" pitchFamily="18" charset="0"/>
          </a:defRPr>
        </a:defPPr>
      </a:lstStyle>
    </a:lnDef>
  </a:objectDefaults>
  <a:extraClrSchemeLst>
    <a:extraClrScheme>
      <a:clrScheme name="Global Sourcing KickoffSection 4-Project Approach v5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Global Sourcing KickoffSection 4-Project Approach v5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Global Sourcing KickoffSection 4-Project Approach v5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Global Sourcing KickoffSection 4-Project Approach v5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Global Sourcing KickoffSection 4-Project Approach v5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Global Sourcing KickoffSection 4-Project Approach v5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8">
        <a:dk1>
          <a:srgbClr val="000000"/>
        </a:dk1>
        <a:lt1>
          <a:srgbClr val="FFFFFF"/>
        </a:lt1>
        <a:dk2>
          <a:srgbClr val="B69404"/>
        </a:dk2>
        <a:lt2>
          <a:srgbClr val="C0C0C0"/>
        </a:lt2>
        <a:accent1>
          <a:srgbClr val="0000FF"/>
        </a:accent1>
        <a:accent2>
          <a:srgbClr val="E2E1C0"/>
        </a:accent2>
        <a:accent3>
          <a:srgbClr val="FFFFFF"/>
        </a:accent3>
        <a:accent4>
          <a:srgbClr val="000000"/>
        </a:accent4>
        <a:accent5>
          <a:srgbClr val="AAAAFF"/>
        </a:accent5>
        <a:accent6>
          <a:srgbClr val="CDCCAE"/>
        </a:accent6>
        <a:hlink>
          <a:srgbClr val="3D97AF"/>
        </a:hlink>
        <a:folHlink>
          <a:srgbClr val="B72C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&lt;Document Abstract&gt;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64DAD-A286-45F6-AC6D-67DA31A2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Subtitle</dc:subject>
  <dc:creator>Sripathi Harish</dc:creator>
  <cp:keywords/>
  <dc:description/>
  <cp:lastModifiedBy>Karthikeyan P T R</cp:lastModifiedBy>
  <cp:revision>2</cp:revision>
  <dcterms:created xsi:type="dcterms:W3CDTF">2018-07-12T09:46:00Z</dcterms:created>
  <dcterms:modified xsi:type="dcterms:W3CDTF">2018-07-12T09:46:00Z</dcterms:modified>
</cp:coreProperties>
</file>