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jc w:val="both"/>
        <w:spacing w:lineRule="exact"/>
      </w:pPr>
      <w:r>
        <w:rPr>
          <w:sz w:val="20"/>
        </w:rPr>
      </w:r>
      <w:r>
        <w:rPr>
          <w:sz w:val="20"/>
        </w:rPr>
      </w:r>
    </w:p>
    <w:p>
      <w:pPr>
        <w:jc w:val="both"/>
        <w:spacing w:line="240" w:lineRule="exact"/>
      </w:pPr>
      <w:r>
        <w:rPr>
          <w:sz w:val="56"/>
          <w:color w:val="1b7e60"/>
        </w:rPr>
        <w:t xml:space="preserve">Table of Contents</w:t>
      </w:r>
    </w:p>
    <w:p>
      <w:pPr>
        <w:numPr>
          <w:ilvl w:val="0"/>
          <w:numId w:val="1"/>
        </w:numPr>
        <w:spacing w:lineRule="exact"/>
      </w:pPr>
      <w:r>
        <w:rPr/>
        <w:t xml:space="preserve">********* Summary</w:t>
      </w:r>
    </w:p>
    <w:p>
      <w:pPr>
        <w:numPr>
          <w:ilvl w:val="1"/>
          <w:numId w:val="1"/>
        </w:numPr>
        <w:spacing w:lineRule="exact"/>
      </w:pPr>
      <w:hyperlink r:id="rId5">
        <w:r>
          <w:rPr>
            <w:sz w:val="20"/>
          </w:rPr>
          <w:t xml:space="preserve">Market Attractiveness Analysis</w:t>
        </w:r>
      </w:hyperlink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Global Acne ********* Market, by Acne Type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Global Acne Treatment Market, by Treatment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****** **** ********* Market, by Drug Type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****** **** Treatment Market, by Route of Administration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Global Acne Treatment Market, by End User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****** Acne ********* Market, ** Region</w:t>
      </w:r>
    </w:p>
    <w:p>
      <w:pPr>
        <w:numPr>
          <w:ilvl w:val="0"/>
          <w:numId w:val="1"/>
        </w:numPr>
        <w:spacing w:lineRule="exact"/>
      </w:pPr>
      <w:r>
        <w:rPr/>
        <w:t xml:space="preserve">Market Introduction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Definition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Scope of the Study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Market Structure</w:t>
      </w:r>
    </w:p>
    <w:p>
      <w:pPr>
        <w:numPr>
          <w:ilvl w:val="0"/>
          <w:numId w:val="1"/>
        </w:numPr>
        <w:spacing w:lineRule="exact"/>
      </w:pPr>
      <w:r>
        <w:rPr/>
        <w:t xml:space="preserve">Research methodology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Research Process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Primary Research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Secondary Research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Market Size Estimation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Forecast Model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List of Assumptions</w:t>
      </w:r>
    </w:p>
    <w:p>
      <w:pPr>
        <w:numPr>
          <w:ilvl w:val="0"/>
          <w:numId w:val="1"/>
        </w:numPr>
        <w:spacing w:lineRule="exact"/>
      </w:pPr>
      <w:r>
        <w:rPr/>
        <w:t xml:space="preserve">Market Dynamics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Drivers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Increasing Awareness about ******** ****** in Acne Treatments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Growing R&amp;D Activities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Restraints</w:t>
      </w:r>
    </w:p>
    <w:p>
      <w:pPr>
        <w:numPr>
          <w:ilvl w:val="2"/>
          <w:numId w:val="1"/>
        </w:numPr>
        <w:spacing w:lineRule="exact"/>
      </w:pPr>
      <w:r>
        <w:rPr>
          <w:sz w:val="20"/>
        </w:rPr>
        <w:t xml:space="preserve">Stringent Regulatory Scenario</w:t>
      </w:r>
    </w:p>
    <w:p>
      <w:pPr>
        <w:numPr>
          <w:ilvl w:val="1"/>
          <w:numId w:val="1"/>
        </w:numPr>
        <w:spacing w:lineRule="exact"/>
      </w:pPr>
      <w:r>
        <w:rPr>
          <w:sz w:val="20"/>
        </w:rPr>
        <w:t xml:space="preserve">Opportunities</w:t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jc w:val="both"/>
        <w:spacing w:line="240" w:lineRule="exact"/>
      </w:pPr>
      <w:r>
        <w:rPr>
          <w:sz w:val="22"/>
        </w:rPr>
        <w:t xml:space="preserve">4.5.</w:t>
      </w:r>
      <w:r>
        <w:rPr>
          <w:sz w:val="20"/>
        </w:rPr>
        <w:t xml:space="preserve">Impact of Covid-19 ** Acne Treatment Market</w:t>
      </w:r>
    </w:p>
    <w:p>
      <w:pPr>
        <w:jc w:val="both"/>
        <w:spacing w:line="240" w:lineRule="exact"/>
      </w:pPr>
      <w:r>
        <w:rPr>
          <w:sz w:val="22"/>
        </w:rPr>
        <w:t xml:space="preserve">4.5.1.</w:t>
      </w:r>
      <w:r>
        <w:rPr>
          <w:sz w:val="20"/>
        </w:rPr>
        <w:t xml:space="preserve">Impact on Supply Chain</w:t>
      </w:r>
    </w:p>
    <w:p>
      <w:pPr>
        <w:jc w:val="both"/>
        <w:spacing w:line="240" w:lineRule="exact"/>
      </w:pPr>
      <w:r>
        <w:rPr>
          <w:sz w:val="22"/>
        </w:rPr>
        <w:t xml:space="preserve">4.5.2.</w:t>
      </w:r>
      <w:r>
        <w:rPr>
          <w:sz w:val="20"/>
        </w:rPr>
        <w:t xml:space="preserve">****** on Productions</w:t>
      </w:r>
    </w:p>
    <w:p>
      <w:pPr>
        <w:jc w:val="both"/>
        <w:spacing w:line="240" w:lineRule="exact"/>
      </w:pPr>
      <w:r>
        <w:rPr>
          <w:sz w:val="22"/>
        </w:rPr>
        <w:t xml:space="preserve">4.5.3.</w:t>
      </w:r>
      <w:r>
        <w:rPr>
          <w:sz w:val="20"/>
        </w:rPr>
        <w:t xml:space="preserve">Impact on Pricing</w:t>
      </w:r>
    </w:p>
    <w:p>
      <w:pPr>
        <w:jc w:val="both"/>
        <w:spacing w:line="240" w:lineRule="exact"/>
      </w:pPr>
      <w:r>
        <w:rPr>
          <w:sz w:val="22"/>
        </w:rPr>
        <w:t xml:space="preserve">4.5.4.</w:t>
      </w:r>
      <w:r>
        <w:rPr>
          <w:sz w:val="20"/>
        </w:rPr>
        <w:t xml:space="preserve">Impact on Regions</w:t>
      </w:r>
    </w:p>
    <w:p>
      <w:pPr>
        <w:jc w:val="both"/>
        <w:spacing w:line="240" w:lineRule="exact"/>
      </w:pPr>
      <w:r>
        <w:rPr>
          <w:sz w:val="22"/>
        </w:rPr>
        <w:t xml:space="preserve">4.5.5.</w:t>
      </w:r>
      <w:r>
        <w:rPr>
          <w:sz w:val="20"/>
        </w:rPr>
        <w:t xml:space="preserve">Demand-Supply Gap Analysis</w:t>
      </w:r>
    </w:p>
    <w:p>
      <w:pPr>
        <w:numPr>
          <w:ilvl w:val="0"/>
          <w:numId w:val="2"/>
        </w:numPr>
        <w:spacing w:lineRule="exact"/>
      </w:pPr>
      <w:r>
        <w:rPr/>
        <w:t xml:space="preserve">Market Factor Analysis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Value Chain Analysis/Supply Chain Analysis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Porter’s Five ****** Model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Bargaining Power ** Suppliers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Bargaining Power of Buyers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Threat of New Entrants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Threat of Substitutes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Intensity of Rivalry</w:t>
      </w:r>
    </w:p>
    <w:p>
      <w:pPr>
        <w:numPr>
          <w:ilvl w:val="0"/>
          <w:numId w:val="2"/>
        </w:numPr>
        <w:spacing w:lineRule="exact"/>
      </w:pPr>
      <w:r>
        <w:rPr/>
        <w:t xml:space="preserve">Global Acne Treatment ****** Size Estimation &amp; Forecast, by **** Type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**** Acne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Moderate Acne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Moderate to Severe Acne</w:t>
      </w:r>
    </w:p>
    <w:p>
      <w:pPr>
        <w:numPr>
          <w:ilvl w:val="0"/>
          <w:numId w:val="2"/>
        </w:numPr>
        <w:spacing w:lineRule="exact"/>
      </w:pPr>
      <w:r>
        <w:rPr/>
        <w:t xml:space="preserve">Global Acne Treatment Market Size Estimation &amp; Forecast, by Treatment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Medication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Retinoids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Antibiotics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Salicylic Acid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Dapsone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Oral Contraceptives</w:t>
      </w:r>
    </w:p>
    <w:p>
      <w:pPr>
        <w:numPr>
          <w:ilvl w:val="1"/>
          <w:numId w:val="2"/>
        </w:numPr>
        <w:spacing w:lineRule="exact"/>
      </w:pPr>
      <w:r>
        <w:rPr>
          <w:sz w:val="20"/>
        </w:rPr>
        <w:t xml:space="preserve">Therapeutic Devices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Laser Treatment</w:t>
      </w:r>
    </w:p>
    <w:p>
      <w:pPr>
        <w:numPr>
          <w:ilvl w:val="2"/>
          <w:numId w:val="2"/>
        </w:numPr>
        <w:spacing w:lineRule="exact"/>
      </w:pPr>
      <w:r>
        <w:rPr>
          <w:sz w:val="20"/>
        </w:rPr>
        <w:t xml:space="preserve">Microdermabrasion</w:t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numPr>
          <w:ilvl w:val="0"/>
          <w:numId w:val="3"/>
        </w:numPr>
        <w:spacing w:lineRule="exact"/>
      </w:pPr>
      <w:r>
        <w:rPr/>
        <w:t xml:space="preserve">****** Acne Treatment Market Size Estimation &amp; Forecast, by Drug Type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Prescription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OTC</w:t>
      </w:r>
    </w:p>
    <w:p>
      <w:pPr>
        <w:numPr>
          <w:ilvl w:val="0"/>
          <w:numId w:val="3"/>
        </w:numPr>
        <w:spacing w:lineRule="exact"/>
      </w:pPr>
      <w:r>
        <w:rPr/>
        <w:t xml:space="preserve">Global Acne ********* Market Size Estimation &amp; Forecast, by ROUTE OF ADMINISTRATION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Oral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Topical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Injectable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Other</w:t>
      </w:r>
    </w:p>
    <w:p>
      <w:pPr>
        <w:numPr>
          <w:ilvl w:val="0"/>
          <w:numId w:val="3"/>
        </w:numPr>
        <w:spacing w:lineRule="exact"/>
      </w:pPr>
      <w:r>
        <w:rPr/>
        <w:t xml:space="preserve">Global Acne Treatment ****** Size Estimation &amp; Forecast, by End User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Hospitals &amp; Clinics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Specialty Centers</w:t>
      </w:r>
    </w:p>
    <w:p>
      <w:pPr>
        <w:numPr>
          <w:ilvl w:val="0"/>
          <w:numId w:val="3"/>
        </w:numPr>
        <w:spacing w:lineRule="exact"/>
      </w:pPr>
      <w:r>
        <w:rPr/>
        <w:t xml:space="preserve">Global Acne Treatment Market Size Estimation &amp; Forecast, by Region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3"/>
        </w:numPr>
        <w:spacing w:lineRule="exact"/>
      </w:pPr>
      <w:r>
        <w:rPr>
          <w:sz w:val="20"/>
        </w:rPr>
        <w:t xml:space="preserve">Americas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Estimates &amp; Forecast, by Acne Type, 2017–2027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Estimates &amp; Forecast, by Drug Type, 2017–2027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Estimates &amp; Forecast, by Treatment, 2017–2027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Estimates &amp; Forecast, by Route ** Administration, 2017–2027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********* &amp; Forecast, ** End User, 2017–2027</w:t>
      </w:r>
    </w:p>
    <w:p>
      <w:pPr>
        <w:numPr>
          <w:ilvl w:val="2"/>
          <w:numId w:val="3"/>
        </w:numPr>
        <w:spacing w:lineRule="exact"/>
      </w:pPr>
      <w:r>
        <w:rPr>
          <w:sz w:val="20"/>
        </w:rPr>
        <w:t xml:space="preserve">Market Estimates &amp; Forecast, by Region, 2017–2027</w:t>
      </w:r>
    </w:p>
    <w:p>
      <w:pPr>
        <w:numPr>
          <w:ilvl w:val="3"/>
          <w:numId w:val="3"/>
        </w:numPr>
        <w:spacing w:lineRule="exact"/>
      </w:pPr>
      <w:r>
        <w:rPr>
          <w:sz w:val="20"/>
        </w:rPr>
        <w:t xml:space="preserve">North America</w:t>
      </w:r>
    </w:p>
    <w:p>
      <w:pPr>
        <w:numPr>
          <w:ilvl w:val="4"/>
          <w:numId w:val="3"/>
        </w:numPr>
        <w:spacing w:lineRule="exact"/>
      </w:pPr>
      <w:r>
        <w:rPr/>
        <w:t xml:space="preserve">Market Estimates &amp; Forecast, by Acne Type, 2017–2027</w:t>
      </w:r>
    </w:p>
    <w:p>
      <w:pPr>
        <w:numPr>
          <w:ilvl w:val="4"/>
          <w:numId w:val="3"/>
        </w:numPr>
        <w:spacing w:lineRule="exact"/>
      </w:pPr>
      <w:r>
        <w:rPr/>
        <w:t xml:space="preserve">Market Estimates &amp; Forecast, by Treatment, 2017–2027</w:t>
      </w:r>
    </w:p>
    <w:p>
      <w:pPr>
        <w:numPr>
          <w:ilvl w:val="4"/>
          <w:numId w:val="3"/>
        </w:numPr>
        <w:spacing w:lineRule="exact"/>
      </w:pPr>
      <w:r>
        <w:rPr/>
        <w:t xml:space="preserve">Market Estimates &amp; Forecast, by Drug Type, 2017–2027</w:t>
      </w:r>
    </w:p>
    <w:p>
      <w:pPr>
        <w:numPr>
          <w:ilvl w:val="4"/>
          <w:numId w:val="3"/>
        </w:numPr>
        <w:spacing w:lineRule="exact"/>
      </w:pPr>
      <w:r>
        <w:rPr/>
        <w:t xml:space="preserve">Market Estimates &amp; Forecast, ** Route of Administration, 2017–2027</w:t>
      </w:r>
    </w:p>
    <w:p>
      <w:pPr>
        <w:numPr>
          <w:ilvl w:val="4"/>
          <w:numId w:val="3"/>
        </w:numPr>
        <w:spacing w:lineRule="exact"/>
      </w:pPr>
      <w:r>
        <w:rPr/>
        <w:t xml:space="preserve">Market ********* &amp; Forecast, ** *** User, 2017–2027</w:t>
      </w:r>
    </w:p>
    <w:p>
      <w:pPr>
        <w:numPr>
          <w:ilvl w:val="4"/>
          <w:numId w:val="3"/>
        </w:numPr>
        <w:spacing w:lineRule="exact"/>
      </w:pPr>
      <w:r>
        <w:rPr/>
        <w:t xml:space="preserve">Market Estimates &amp; Forecast, ** Country, 2017–2027</w:t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spacing w:line="240" w:lineRule="exact"/>
      </w:pPr>
      <w:r>
        <w:rPr>
          <w:sz w:val="20"/>
          <w:i/>
        </w:rPr>
        <w:t xml:space="preserve">11.2.6.1.6.1.</w:t>
      </w:r>
      <w:r>
        <w:rPr>
          <w:sz w:val="20"/>
          <w:i/>
        </w:rPr>
        <w:t xml:space="preserve">US</w:t>
      </w:r>
    </w:p>
    <w:p>
      <w:pPr>
        <w:spacing w:line="240" w:lineRule="exact"/>
      </w:pPr>
      <w:r>
        <w:rPr>
          <w:sz w:val="20"/>
          <w:i/>
        </w:rPr>
        <w:t xml:space="preserve">11.2.6.1.6.1.1.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11.2.6.1.6.1.2.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11.2.6.1.6.1.3.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11.2.6.1.6.1.4.</w:t>
      </w:r>
      <w:r>
        <w:rPr>
          <w:sz w:val="20"/>
          <w:i/>
        </w:rPr>
        <w:t xml:space="preserve">Market Estimates &amp; Forecast, by *****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11.2.6.1.6.1.5.</w:t>
      </w:r>
      <w:r>
        <w:rPr>
          <w:sz w:val="20"/>
          <w:i/>
        </w:rPr>
        <w:t xml:space="preserve">Market ********* &amp; Forecast, ** End User, 2017–2027</w:t>
      </w:r>
    </w:p>
    <w:p>
      <w:pPr>
        <w:spacing w:line="240" w:lineRule="exact"/>
      </w:pPr>
      <w:r>
        <w:rPr>
          <w:sz w:val="20"/>
          <w:i/>
        </w:rPr>
        <w:t xml:space="preserve">11.2.6.1.6.2.</w:t>
      </w:r>
      <w:r>
        <w:rPr>
          <w:sz w:val="20"/>
          <w:i/>
        </w:rPr>
        <w:t xml:space="preserve">Canada</w:t>
      </w:r>
    </w:p>
    <w:p>
      <w:pPr>
        <w:spacing w:line="240" w:lineRule="exact"/>
      </w:pPr>
      <w:r>
        <w:rPr>
          <w:sz w:val="20"/>
          <w:i/>
        </w:rPr>
        <w:t xml:space="preserve">11.2.6.1.6.2.1.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11.2.6.1.6.2.2.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11.2.6.1.6.2.3.</w:t>
      </w:r>
      <w:r>
        <w:rPr>
          <w:sz w:val="20"/>
          <w:i/>
        </w:rPr>
        <w:t xml:space="preserve">Market Estimates &amp; Forecast, ** Drug Type, 2017–2027</w:t>
      </w:r>
    </w:p>
    <w:p>
      <w:pPr>
        <w:spacing w:line="240" w:lineRule="exact"/>
      </w:pPr>
      <w:r>
        <w:rPr>
          <w:sz w:val="20"/>
          <w:i/>
        </w:rPr>
        <w:t xml:space="preserve">11.2.6.1.6.2.4.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11.2.6.1.6.2.5.</w:t>
      </w:r>
      <w:r>
        <w:rPr>
          <w:sz w:val="20"/>
          <w:i/>
        </w:rPr>
        <w:t xml:space="preserve">Market Estimates &amp; Forecast, **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11.2.6.2.</w:t>
      </w:r>
      <w:r>
        <w:rPr>
          <w:sz w:val="20"/>
          <w:i/>
        </w:rPr>
        <w:t xml:space="preserve">***** America</w:t>
      </w:r>
    </w:p>
    <w:p>
      <w:pPr>
        <w:spacing w:line="240" w:lineRule="exact"/>
      </w:pPr>
      <w:r>
        <w:rPr>
          <w:sz w:val="20"/>
          <w:i/>
        </w:rPr>
        <w:t xml:space="preserve">11.2.6.2.1.</w:t>
      </w:r>
      <w:r>
        <w:rPr>
          <w:sz w:val="20"/>
          <w:i/>
        </w:rPr>
        <w:t xml:space="preserve">****** *********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11.2.6.2.2.</w:t>
      </w:r>
      <w:r>
        <w:rPr>
          <w:sz w:val="20"/>
          <w:i/>
        </w:rPr>
        <w:t xml:space="preserve">******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11.2.6.2.3.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11.2.6.2.4.</w:t>
      </w:r>
      <w:r>
        <w:rPr>
          <w:sz w:val="20"/>
          <w:i/>
        </w:rPr>
        <w:t xml:space="preserve">Market Estimates &amp; Forecast, by *****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11.2.6.2.5.</w:t>
      </w:r>
      <w:r>
        <w:rPr>
          <w:sz w:val="20"/>
          <w:i/>
        </w:rPr>
        <w:t xml:space="preserve">Market Estimates &amp; Forecast, **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11.3.</w:t>
      </w:r>
      <w:r>
        <w:rPr>
          <w:sz w:val="20"/>
        </w:rPr>
        <w:t xml:space="preserve">Europe</w:t>
      </w:r>
    </w:p>
    <w:p>
      <w:pPr>
        <w:jc w:val="both"/>
        <w:spacing w:line="240" w:lineRule="exact"/>
      </w:pPr>
      <w:r>
        <w:rPr>
          <w:sz w:val="22"/>
        </w:rPr>
        <w:t xml:space="preserve">11.3.1.</w:t>
      </w:r>
      <w:r>
        <w:rPr>
          <w:sz w:val="20"/>
        </w:rPr>
        <w:t xml:space="preserve">Market Estimates &amp; Forecast, by ****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11.3.2.</w:t>
      </w:r>
      <w:r>
        <w:rPr>
          <w:sz w:val="20"/>
        </w:rPr>
        <w:t xml:space="preserve">****** ********* &amp; Forecast, by Treatment, 2017–2027</w:t>
      </w:r>
    </w:p>
    <w:p>
      <w:pPr>
        <w:jc w:val="both"/>
        <w:spacing w:line="240" w:lineRule="exact"/>
      </w:pPr>
      <w:r>
        <w:rPr>
          <w:sz w:val="22"/>
        </w:rPr>
        <w:t xml:space="preserve">11.3.3.</w:t>
      </w:r>
      <w:r>
        <w:rPr>
          <w:sz w:val="20"/>
        </w:rPr>
        <w:t xml:space="preserve">Market Estimates &amp; Forecast, ** Drug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11.3.4.</w:t>
      </w:r>
      <w:r>
        <w:rPr>
          <w:sz w:val="20"/>
        </w:rPr>
        <w:t xml:space="preserve">Market Estimates &amp; Forecast, by Route of Administration, 2017–2027</w:t>
      </w:r>
    </w:p>
    <w:p>
      <w:pPr>
        <w:jc w:val="both"/>
        <w:spacing w:line="240" w:lineRule="exact"/>
      </w:pPr>
      <w:r>
        <w:rPr>
          <w:sz w:val="22"/>
        </w:rPr>
        <w:t xml:space="preserve">11.3.5.</w:t>
      </w:r>
      <w:r>
        <w:rPr>
          <w:sz w:val="20"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11.3.6.</w:t>
      </w:r>
      <w:r>
        <w:rPr>
          <w:sz w:val="20"/>
        </w:rPr>
        <w:t xml:space="preserve">****** Estimates &amp; Forecast, by Region,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11.3.6.1.</w:t>
      </w:r>
      <w:r>
        <w:rPr>
          <w:sz w:val="20"/>
          <w:i/>
        </w:rPr>
        <w:t xml:space="preserve">Western Europe</w:t>
      </w:r>
    </w:p>
    <w:p>
      <w:pPr>
        <w:spacing w:line="240" w:lineRule="exact"/>
      </w:pPr>
      <w:r>
        <w:rPr>
          <w:sz w:val="20"/>
          <w:i/>
        </w:rPr>
        <w:t xml:space="preserve">11.3.6.1.1.</w:t>
      </w:r>
      <w:r>
        <w:rPr>
          <w:sz w:val="20"/>
          <w:i/>
        </w:rPr>
        <w:t xml:space="preserve">******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11.3.6.1.5.</w:t>
      </w:r>
      <w:r>
        <w:rPr>
          <w:sz w:val="20"/>
          <w:i/>
        </w:rPr>
        <w:t xml:space="preserve">Market Estimates &amp; Forecast, by End User, 2017–2027</w:t>
      </w:r>
    </w:p>
    <w:p>
      <w:pPr>
        <w:spacing w:line="240" w:lineRule="exact"/>
      </w:pPr>
      <w:r>
        <w:rPr>
          <w:sz w:val="20"/>
          <w:i/>
        </w:rPr>
        <w:t xml:space="preserve">11.3.6.1.6.</w:t>
      </w:r>
      <w:r>
        <w:rPr>
          <w:sz w:val="20"/>
          <w:i/>
        </w:rPr>
        <w:t xml:space="preserve">Market Estimates &amp; Forecast, by Country, 2017–2027</w:t>
      </w:r>
    </w:p>
    <w:p>
      <w:pPr>
        <w:spacing w:line="240" w:lineRule="exact"/>
      </w:pPr>
      <w:r>
        <w:rPr>
          <w:sz w:val="20"/>
          <w:i/>
        </w:rPr>
        <w:t xml:space="preserve">11.3.6.1.6.1.</w:t>
      </w:r>
      <w:r>
        <w:rPr>
          <w:sz w:val="20"/>
          <w:i/>
        </w:rPr>
        <w:t xml:space="preserve">Germany</w:t>
      </w:r>
    </w:p>
    <w:p>
      <w:pPr>
        <w:spacing w:line="240" w:lineRule="exact"/>
      </w:pPr>
      <w:r>
        <w:rPr>
          <w:sz w:val="20"/>
          <w:i/>
        </w:rPr>
        <w:t xml:space="preserve">11.3.6.1.6.1.1.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11.3.6.1.6.1.2.</w:t>
      </w:r>
      <w:r>
        <w:rPr>
          <w:sz w:val="20"/>
          <w:i/>
        </w:rPr>
        <w:t xml:space="preserve">Market *********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11.3.6.1.6.1.3.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11.3.6.1.6.1.4.</w:t>
      </w:r>
      <w:r>
        <w:rPr>
          <w:sz w:val="20"/>
          <w:i/>
        </w:rPr>
        <w:t xml:space="preserve">Market Estimates &amp; Forecast, **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11.3.6.1.6.1.5.</w:t>
      </w:r>
      <w:r>
        <w:rPr>
          <w:sz w:val="20"/>
          <w:i/>
        </w:rPr>
        <w:t xml:space="preserve">Market Estimates &amp; Forecast, by End User, 2017–2027</w:t>
      </w:r>
    </w:p>
    <w:p>
      <w:pPr>
        <w:spacing w:line="240" w:lineRule="exact"/>
      </w:pPr>
      <w:r>
        <w:rPr>
          <w:sz w:val="20"/>
          <w:i/>
        </w:rPr>
        <w:t xml:space="preserve">11.3.6.1.6.2.</w:t>
      </w:r>
      <w:r>
        <w:rPr>
          <w:sz w:val="20"/>
          <w:i/>
        </w:rPr>
        <w:t xml:space="preserve">France</w:t>
      </w:r>
    </w:p>
    <w:p>
      <w:pPr>
        <w:spacing w:line="240" w:lineRule="exact"/>
      </w:pPr>
      <w:r>
        <w:rPr>
          <w:sz w:val="20"/>
          <w:i/>
        </w:rPr>
        <w:t xml:space="preserve">11.3.6.1.6.2.1.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11.3.6.1.6.2.2.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11.3.6.1.6.2.3.</w:t>
      </w:r>
      <w:r>
        <w:rPr>
          <w:sz w:val="20"/>
          <w:i/>
        </w:rPr>
        <w:t xml:space="preserve">Market Estimates &amp; Forecast, by **** Type, 2017–2027</w:t>
      </w:r>
    </w:p>
    <w:p>
      <w:pPr>
        <w:spacing w:line="240" w:lineRule="exact"/>
      </w:pPr>
      <w:r>
        <w:rPr>
          <w:sz w:val="20"/>
          <w:i/>
        </w:rPr>
        <w:t xml:space="preserve">11.3.6.1.6.2.4.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11.3.6.1.6.2.5.</w:t>
      </w:r>
      <w:r>
        <w:rPr>
          <w:sz w:val="20"/>
          <w:i/>
        </w:rPr>
        <w:t xml:space="preserve">Market ********* &amp; Forecast, by *** User, 2017–2027</w:t>
      </w:r>
    </w:p>
    <w:p>
      <w:pPr>
        <w:spacing w:line="240" w:lineRule="exact"/>
      </w:pPr>
      <w:r>
        <w:rPr>
          <w:sz w:val="20"/>
          <w:i/>
        </w:rPr>
        <w:t xml:space="preserve">11.3.6.1.6.3.</w:t>
      </w:r>
      <w:r>
        <w:rPr>
          <w:sz w:val="20"/>
          <w:i/>
        </w:rPr>
        <w:t xml:space="preserve">UK</w:t>
      </w:r>
    </w:p>
    <w:p>
      <w:pPr>
        <w:spacing w:line="240" w:lineRule="exact"/>
      </w:pPr>
      <w:r>
        <w:rPr>
          <w:sz w:val="20"/>
          <w:i/>
        </w:rPr>
        <w:t xml:space="preserve">11.3.6.1.6.3.1.</w:t>
      </w:r>
      <w:r>
        <w:rPr>
          <w:sz w:val="20"/>
          <w:i/>
        </w:rPr>
        <w:t xml:space="preserve">****** *********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11.3.6.1.6.3.2.</w:t>
      </w:r>
      <w:r>
        <w:rPr>
          <w:sz w:val="20"/>
          <w:i/>
        </w:rPr>
        <w:t xml:space="preserve">Market Estimates &amp; Forecast, **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11.3.6.1.6.3.3.</w:t>
      </w:r>
      <w:r>
        <w:rPr>
          <w:sz w:val="20"/>
          <w:i/>
        </w:rPr>
        <w:t xml:space="preserve">Market *********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11.3.6.1.6.3.4.</w:t>
      </w:r>
      <w:r>
        <w:rPr>
          <w:sz w:val="20"/>
          <w:i/>
        </w:rPr>
        <w:t xml:space="preserve">****** Estimates &amp; Forecast, by Route **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11.3.6.1.6.3.5.</w:t>
      </w:r>
      <w:r>
        <w:rPr>
          <w:sz w:val="20"/>
          <w:i/>
        </w:rPr>
        <w:t xml:space="preserve">****** Estimates &amp; Forecast, by End User, 2017–2027</w:t>
      </w:r>
    </w:p>
    <w:p>
      <w:pPr>
        <w:spacing w:line="240" w:lineRule="exact"/>
      </w:pPr>
      <w:r>
        <w:rPr>
          <w:sz w:val="20"/>
          <w:i/>
        </w:rPr>
        <w:t xml:space="preserve">11.3.6.1.6.4.</w:t>
      </w:r>
      <w:r>
        <w:rPr>
          <w:sz w:val="20"/>
          <w:i/>
        </w:rPr>
        <w:t xml:space="preserve">Italy</w:t>
      </w:r>
    </w:p>
    <w:p>
      <w:pPr>
        <w:spacing w:line="240" w:lineRule="exact"/>
      </w:pPr>
      <w:r>
        <w:rPr>
          <w:sz w:val="20"/>
          <w:i/>
        </w:rPr>
        <w:t xml:space="preserve">11.3.6.1.6.4.1.</w:t>
      </w:r>
      <w:r>
        <w:rPr>
          <w:sz w:val="20"/>
          <w:i/>
        </w:rPr>
        <w:t xml:space="preserve">******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11.3.6.1.6.4.2.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11.3.6.1.6.4.3.</w:t>
      </w:r>
      <w:r>
        <w:rPr>
          <w:sz w:val="20"/>
          <w:i/>
        </w:rPr>
        <w:t xml:space="preserve">Market *********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11.3.6.1.6.4.4.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11.3.6.1.6.4.5.</w:t>
      </w:r>
      <w:r>
        <w:rPr>
          <w:sz w:val="20"/>
          <w:i/>
        </w:rPr>
        <w:t xml:space="preserve">Market Estimates &amp; Forecast, by End User, 2017–2027</w:t>
      </w:r>
    </w:p>
    <w:p>
      <w:pPr>
        <w:spacing w:line="240" w:lineRule="exact"/>
      </w:pPr>
      <w:r>
        <w:rPr>
          <w:sz w:val="20"/>
          <w:i/>
        </w:rPr>
        <w:t xml:space="preserve">11.3.6.1.6.5.</w:t>
      </w:r>
      <w:r>
        <w:rPr>
          <w:sz w:val="20"/>
          <w:i/>
        </w:rPr>
        <w:t xml:space="preserve">Spain</w:t>
      </w:r>
    </w:p>
    <w:p>
      <w:pPr>
        <w:spacing w:line="240" w:lineRule="exact"/>
      </w:pPr>
      <w:r>
        <w:rPr>
          <w:sz w:val="20"/>
          <w:i/>
        </w:rPr>
        <w:t xml:space="preserve">11.3.6.1.6.5.1.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11.3.6.1.6.5.2.</w:t>
      </w:r>
      <w:r>
        <w:rPr>
          <w:sz w:val="20"/>
          <w:i/>
        </w:rPr>
        <w:t xml:space="preserve">Market Estimates &amp; Forecast, **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11.3.6.1.6.5.3.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11.3.6.1.6.5.4.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11.3.6.1.6.5.5.</w:t>
      </w:r>
      <w:r>
        <w:rPr>
          <w:sz w:val="20"/>
          <w:i/>
        </w:rPr>
        <w:t xml:space="preserve">Market ********* &amp; Forecast, by End User, 2017–2027</w:t>
      </w:r>
    </w:p>
    <w:p>
      <w:pPr>
        <w:spacing w:line="240" w:lineRule="exact"/>
      </w:pPr>
      <w:r>
        <w:rPr>
          <w:sz w:val="20"/>
          <w:i/>
        </w:rPr>
        <w:t xml:space="preserve">11.3.6.1.6.6.</w:t>
      </w:r>
      <w:r>
        <w:rPr>
          <w:sz w:val="20"/>
          <w:i/>
        </w:rPr>
        <w:t xml:space="preserve">Rest of Western Europe</w:t>
      </w:r>
    </w:p>
    <w:p>
      <w:pPr>
        <w:spacing w:line="240" w:lineRule="exact"/>
      </w:pPr>
      <w:r>
        <w:rPr>
          <w:sz w:val="20"/>
          <w:i/>
        </w:rPr>
        <w:t xml:space="preserve">11.3.6.1.6.6.1.</w:t>
      </w:r>
      <w:r>
        <w:rPr>
          <w:sz w:val="20"/>
          <w:i/>
        </w:rPr>
        <w:t xml:space="preserve">Market *********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11.3.6.1.6.6.2.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11.3.6.1.6.6.3.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11.3.6.1.6.6.4.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11.3.6.1.6.6.5.</w:t>
      </w:r>
      <w:r>
        <w:rPr>
          <w:sz w:val="20"/>
          <w:i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11.3.7.</w:t>
      </w:r>
      <w:r>
        <w:rPr>
          <w:sz w:val="20"/>
        </w:rPr>
        <w:t xml:space="preserve">Eastern Europe</w:t>
      </w:r>
    </w:p>
    <w:p>
      <w:pPr>
        <w:spacing w:line="240" w:lineRule="exact"/>
      </w:pPr>
      <w:r>
        <w:rPr>
          <w:sz w:val="20"/>
          <w:i/>
        </w:rPr>
        <w:t xml:space="preserve">11.3.7.1.1.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11.3.7.1.2.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11.3.7.1.3.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11.3.7.1.4.</w:t>
      </w:r>
      <w:r>
        <w:rPr>
          <w:sz w:val="20"/>
          <w:i/>
        </w:rPr>
        <w:t xml:space="preserve">******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11.3.7.1.5.</w:t>
      </w:r>
      <w:r>
        <w:rPr>
          <w:sz w:val="20"/>
          <w:i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11.4.</w:t>
      </w:r>
      <w:r>
        <w:rPr>
          <w:sz w:val="20"/>
        </w:rPr>
        <w:t xml:space="preserve">Asia-Pacific</w:t>
      </w:r>
    </w:p>
    <w:p>
      <w:pPr>
        <w:jc w:val="both"/>
        <w:spacing w:line="240" w:lineRule="exact"/>
      </w:pPr>
      <w:r>
        <w:rPr>
          <w:sz w:val="22"/>
        </w:rPr>
        <w:t xml:space="preserve">11.4.1.</w:t>
      </w:r>
      <w:r>
        <w:rPr>
          <w:sz w:val="20"/>
        </w:rPr>
        <w:t xml:space="preserve">****** Estimates &amp; Forecast, by Acne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11.4.2.</w:t>
      </w:r>
      <w:r>
        <w:rPr>
          <w:sz w:val="20"/>
        </w:rPr>
        <w:t xml:space="preserve">Market ********* &amp; Forecast, by Treatment, 2017–2027</w:t>
      </w:r>
    </w:p>
    <w:p>
      <w:pPr>
        <w:jc w:val="both"/>
        <w:spacing w:line="240" w:lineRule="exact"/>
      </w:pPr>
      <w:r>
        <w:rPr>
          <w:sz w:val="22"/>
        </w:rPr>
        <w:t xml:space="preserve">11.4.3.</w:t>
      </w:r>
      <w:r>
        <w:rPr>
          <w:sz w:val="20"/>
        </w:rPr>
        <w:t xml:space="preserve">Market Estimates &amp; Forecast, ** Drug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11.4.4.</w:t>
      </w:r>
      <w:r>
        <w:rPr>
          <w:sz w:val="20"/>
        </w:rPr>
        <w:t xml:space="preserve">Market ********* &amp; Forecast, by Route ** Administration, 2017–2027</w:t>
      </w:r>
    </w:p>
    <w:p>
      <w:pPr>
        <w:jc w:val="both"/>
        <w:spacing w:line="240" w:lineRule="exact"/>
      </w:pPr>
      <w:r>
        <w:rPr>
          <w:sz w:val="22"/>
        </w:rPr>
        <w:t xml:space="preserve">11.4.5.</w:t>
      </w:r>
      <w:r>
        <w:rPr>
          <w:sz w:val="20"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11.4.5.1.</w:t>
      </w:r>
      <w:r>
        <w:rPr>
          <w:sz w:val="20"/>
          <w:i/>
        </w:rPr>
        <w:t xml:space="preserve">China</w:t>
      </w:r>
    </w:p>
    <w:p>
      <w:pPr>
        <w:spacing w:line="240" w:lineRule="exact"/>
      </w:pPr>
      <w:r>
        <w:rPr>
          <w:sz w:val="20"/>
          <w:i/>
        </w:rPr>
        <w:t xml:space="preserve">11.4.5.1.1.</w:t>
      </w:r>
      <w:r>
        <w:rPr>
          <w:sz w:val="20"/>
          <w:i/>
        </w:rPr>
        <w:t xml:space="preserve">Market Estimates &amp; Forecast, by **** Type, 2017–2027</w:t>
      </w:r>
    </w:p>
    <w:p>
      <w:pPr>
        <w:spacing w:line="240" w:lineRule="exact"/>
      </w:pPr>
      <w:r>
        <w:rPr>
          <w:sz w:val="20"/>
          <w:i/>
        </w:rPr>
        <w:t xml:space="preserve">11.4.5.1.2.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11.4.5.1.3.</w:t>
      </w:r>
      <w:r>
        <w:rPr>
          <w:sz w:val="20"/>
          <w:i/>
        </w:rPr>
        <w:t xml:space="preserve">Market *********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11.4.5.1.4.</w:t>
      </w:r>
      <w:r>
        <w:rPr>
          <w:sz w:val="20"/>
          <w:i/>
        </w:rPr>
        <w:t xml:space="preserve">Market Estimates &amp; Forecast, by Route **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11.4.5.1.5.</w:t>
      </w:r>
      <w:r>
        <w:rPr>
          <w:sz w:val="20"/>
          <w:i/>
        </w:rPr>
        <w:t xml:space="preserve">****** Estimates &amp; Forecast, by ***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11.4.5.2.</w:t>
      </w:r>
      <w:r>
        <w:rPr>
          <w:sz w:val="20"/>
          <w:i/>
        </w:rPr>
        <w:t xml:space="preserve">India</w:t>
      </w:r>
    </w:p>
    <w:p>
      <w:pPr>
        <w:spacing w:line="240" w:lineRule="exact"/>
      </w:pPr>
      <w:r>
        <w:rPr>
          <w:sz w:val="20"/>
          <w:i/>
        </w:rPr>
        <w:t xml:space="preserve">11.4.5.2.1.1.1.</w:t>
      </w:r>
      <w:r>
        <w:rPr>
          <w:sz w:val="20"/>
          <w:i/>
        </w:rPr>
        <w:t xml:space="preserve">Market Estimates &amp; Forecast, ** **** Type, 2017–2027</w:t>
      </w:r>
    </w:p>
    <w:p>
      <w:pPr>
        <w:spacing w:line="240" w:lineRule="exact"/>
      </w:pPr>
      <w:r>
        <w:rPr>
          <w:sz w:val="20"/>
          <w:i/>
        </w:rPr>
        <w:t xml:space="preserve">11.4.5.2.1.1.2.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11.4.5.2.1.1.3.</w:t>
      </w:r>
      <w:r>
        <w:rPr>
          <w:sz w:val="20"/>
          <w:i/>
        </w:rPr>
        <w:t xml:space="preserve">******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11.4.5.2.1.1.4.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11.4.5.2.2.</w:t>
      </w:r>
      <w:r>
        <w:rPr>
          <w:sz w:val="20"/>
          <w:i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11.4.5.3.</w:t>
      </w:r>
      <w:r>
        <w:rPr>
          <w:sz w:val="20"/>
          <w:i/>
        </w:rPr>
        <w:t xml:space="preserve">Japan</w:t>
      </w:r>
    </w:p>
    <w:p>
      <w:pPr>
        <w:spacing w:line="240" w:lineRule="exact"/>
      </w:pPr>
      <w:r>
        <w:rPr>
          <w:sz w:val="20"/>
          <w:i/>
        </w:rPr>
        <w:t xml:space="preserve">11.4.5.3.1.1.1.</w:t>
      </w:r>
      <w:r>
        <w:rPr>
          <w:sz w:val="20"/>
          <w:i/>
        </w:rPr>
        <w:t xml:space="preserve">Market Estimates &amp; Forecast, by **** Type, 2017–2027</w:t>
      </w:r>
    </w:p>
    <w:p>
      <w:pPr>
        <w:spacing w:line="240" w:lineRule="exact"/>
      </w:pPr>
      <w:r>
        <w:rPr>
          <w:sz w:val="20"/>
          <w:i/>
        </w:rPr>
        <w:t xml:space="preserve">11.4.5.3.1.1.2.</w:t>
      </w:r>
      <w:r>
        <w:rPr>
          <w:sz w:val="20"/>
          <w:i/>
        </w:rPr>
        <w:t xml:space="preserve">****** Estimates &amp; Forecast, ** Treatment, 2017–2027</w:t>
      </w:r>
    </w:p>
    <w:p>
      <w:pPr>
        <w:spacing w:line="240" w:lineRule="exact"/>
      </w:pPr>
      <w:r>
        <w:rPr>
          <w:sz w:val="20"/>
          <w:i/>
        </w:rPr>
        <w:t xml:space="preserve">11.4.5.3.1.1.3.</w:t>
      </w:r>
      <w:r>
        <w:rPr>
          <w:sz w:val="20"/>
          <w:i/>
        </w:rPr>
        <w:t xml:space="preserve">Market Estimates &amp; Forecast, ** Drug Type, 2017–2027</w:t>
      </w:r>
    </w:p>
    <w:p>
      <w:pPr>
        <w:spacing w:line="240" w:lineRule="exact"/>
      </w:pPr>
      <w:r>
        <w:rPr>
          <w:sz w:val="20"/>
          <w:i/>
        </w:rPr>
        <w:t xml:space="preserve">11.4.5.3.1.1.4.</w:t>
      </w:r>
      <w:r>
        <w:rPr>
          <w:sz w:val="20"/>
          <w:i/>
        </w:rPr>
        <w:t xml:space="preserve">****** Estimates &amp; Forecast, by *****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11.4.5.3.2.</w:t>
      </w:r>
      <w:r>
        <w:rPr>
          <w:sz w:val="20"/>
          <w:i/>
        </w:rPr>
        <w:t xml:space="preserve">Market ********* &amp; Forecast, by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11.4.5.4.</w:t>
      </w:r>
      <w:r>
        <w:rPr>
          <w:sz w:val="20"/>
          <w:i/>
        </w:rPr>
        <w:t xml:space="preserve">Australia</w:t>
      </w:r>
    </w:p>
    <w:p>
      <w:pPr>
        <w:spacing w:line="240" w:lineRule="exact"/>
      </w:pPr>
      <w:r>
        <w:rPr>
          <w:sz w:val="20"/>
          <w:i/>
        </w:rPr>
        <w:t xml:space="preserve">11.4.5.4.1.</w:t>
      </w:r>
      <w:r>
        <w:rPr>
          <w:sz w:val="20"/>
          <w:i/>
        </w:rPr>
        <w:t xml:space="preserve">Market Estimates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11.4.5.4.2.</w:t>
      </w:r>
      <w:r>
        <w:rPr>
          <w:sz w:val="20"/>
          <w:i/>
        </w:rPr>
        <w:t xml:space="preserve">Market Estimates &amp; Forecast, ** Treatment, 2017–2027</w:t>
      </w:r>
    </w:p>
    <w:p>
      <w:pPr>
        <w:spacing w:line="240" w:lineRule="exact"/>
      </w:pPr>
      <w:r>
        <w:rPr>
          <w:sz w:val="20"/>
          <w:i/>
        </w:rPr>
        <w:t xml:space="preserve">11.4.5.4.3.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11.4.5.4.4.</w:t>
      </w:r>
      <w:r>
        <w:rPr>
          <w:sz w:val="20"/>
          <w:i/>
        </w:rPr>
        <w:t xml:space="preserve">Market ********* &amp; Forecast, by *****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11.4.5.4.5.</w:t>
      </w:r>
      <w:r>
        <w:rPr>
          <w:sz w:val="20"/>
          <w:i/>
        </w:rPr>
        <w:t xml:space="preserve">Market Estimates &amp; Forecast, **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11.4.5.5.</w:t>
      </w:r>
      <w:r>
        <w:rPr>
          <w:sz w:val="20"/>
          <w:i/>
        </w:rPr>
        <w:t xml:space="preserve">South Korea</w:t>
      </w:r>
    </w:p>
    <w:p>
      <w:pPr>
        <w:spacing w:line="240" w:lineRule="exact"/>
      </w:pPr>
      <w:r>
        <w:rPr>
          <w:sz w:val="20"/>
          <w:i/>
        </w:rPr>
        <w:t xml:space="preserve">11.4.5.5.1.</w:t>
      </w:r>
      <w:r>
        <w:rPr>
          <w:sz w:val="20"/>
          <w:i/>
        </w:rPr>
        <w:t xml:space="preserve">Market ********* &amp; Forecast, by Acne Type, 2017–2027</w:t>
      </w:r>
    </w:p>
    <w:p>
      <w:pPr>
        <w:spacing w:line="240" w:lineRule="exact"/>
      </w:pPr>
      <w:r>
        <w:rPr>
          <w:sz w:val="20"/>
          <w:i/>
        </w:rPr>
        <w:t xml:space="preserve">11.4.5.5.2.</w:t>
      </w:r>
      <w:r>
        <w:rPr>
          <w:sz w:val="20"/>
          <w:i/>
        </w:rPr>
        <w:t xml:space="preserve">******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11.4.5.5.3.</w:t>
      </w:r>
      <w:r>
        <w:rPr>
          <w:sz w:val="20"/>
          <w:i/>
        </w:rPr>
        <w:t xml:space="preserve">******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11.4.5.5.4.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11.4.5.5.5.</w:t>
      </w:r>
      <w:r>
        <w:rPr>
          <w:sz w:val="20"/>
          <w:i/>
        </w:rPr>
        <w:t xml:space="preserve">Market Estimates &amp; Forecast, **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11.4.5.6.</w:t>
      </w:r>
      <w:r>
        <w:rPr>
          <w:sz w:val="20"/>
          <w:i/>
        </w:rPr>
        <w:t xml:space="preserve">**** ** Asia-Pacific</w:t>
      </w:r>
    </w:p>
    <w:p>
      <w:pPr>
        <w:spacing w:line="240" w:lineRule="exact"/>
      </w:pPr>
      <w:r>
        <w:rPr>
          <w:sz w:val="20"/>
          <w:i/>
        </w:rPr>
        <w:t xml:space="preserve">11.4.5.6.1.</w:t>
      </w:r>
      <w:r>
        <w:rPr>
          <w:sz w:val="20"/>
          <w:i/>
        </w:rPr>
        <w:t xml:space="preserve">Market Estimates &amp; Forecast, ** Acne Type, 2017–2027</w:t>
      </w:r>
    </w:p>
    <w:p>
      <w:pPr>
        <w:spacing w:line="240" w:lineRule="exact"/>
      </w:pPr>
      <w:r>
        <w:rPr>
          <w:sz w:val="20"/>
          <w:i/>
        </w:rPr>
        <w:t xml:space="preserve">11.4.5.6.2.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11.4.5.6.3.</w:t>
      </w:r>
      <w:r>
        <w:rPr>
          <w:sz w:val="20"/>
          <w:i/>
        </w:rPr>
        <w:t xml:space="preserve">Market Estimates &amp; Forecast, by **** Type, 2017–2027</w:t>
      </w:r>
    </w:p>
    <w:p>
      <w:pPr>
        <w:spacing w:line="240" w:lineRule="exact"/>
      </w:pPr>
      <w:r>
        <w:rPr>
          <w:sz w:val="20"/>
          <w:i/>
        </w:rPr>
        <w:t xml:space="preserve">11.4.5.6.4.</w:t>
      </w:r>
      <w:r>
        <w:rPr>
          <w:sz w:val="20"/>
          <w:i/>
        </w:rPr>
        <w:t xml:space="preserve">Market Estimates &amp; Forecast, by ***** ** Administration, 2017–2027</w:t>
      </w:r>
    </w:p>
    <w:p>
      <w:pPr>
        <w:spacing w:line="240" w:lineRule="exact"/>
      </w:pPr>
      <w:r>
        <w:rPr>
          <w:sz w:val="20"/>
          <w:i/>
        </w:rPr>
        <w:t xml:space="preserve">11.4.5.6.5.</w:t>
      </w:r>
      <w:r>
        <w:rPr>
          <w:sz w:val="20"/>
          <w:i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11.5.</w:t>
      </w:r>
      <w:r>
        <w:rPr>
          <w:sz w:val="20"/>
        </w:rPr>
        <w:t xml:space="preserve">Middle East &amp; Africa</w:t>
      </w:r>
    </w:p>
    <w:p>
      <w:pPr>
        <w:jc w:val="both"/>
        <w:spacing w:line="240" w:lineRule="exact"/>
      </w:pPr>
      <w:r>
        <w:rPr>
          <w:sz w:val="22"/>
        </w:rPr>
        <w:t xml:space="preserve">11.5.1.</w:t>
      </w:r>
      <w:r>
        <w:rPr>
          <w:sz w:val="20"/>
        </w:rPr>
        <w:t xml:space="preserve">Market Estimates &amp; Forecast, by Acne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11.5.2.</w:t>
      </w:r>
      <w:r>
        <w:rPr>
          <w:sz w:val="20"/>
        </w:rPr>
        <w:t xml:space="preserve">****** Estimates &amp; Forecast, by Treatment, 2017–2027</w:t>
      </w:r>
    </w:p>
    <w:p>
      <w:pPr>
        <w:jc w:val="both"/>
        <w:spacing w:line="240" w:lineRule="exact"/>
      </w:pPr>
      <w:r>
        <w:rPr>
          <w:sz w:val="22"/>
        </w:rPr>
        <w:t xml:space="preserve">11.5.3.</w:t>
      </w:r>
      <w:r>
        <w:rPr>
          <w:sz w:val="20"/>
        </w:rPr>
        <w:t xml:space="preserve">Market Estimates &amp; Forecast, by Drug Type, 2017–2027</w:t>
      </w:r>
    </w:p>
    <w:p>
      <w:pPr>
        <w:jc w:val="both"/>
        <w:spacing w:line="240" w:lineRule="exact"/>
      </w:pPr>
      <w:r>
        <w:rPr>
          <w:sz w:val="22"/>
        </w:rPr>
        <w:t xml:space="preserve">11.5.4.</w:t>
      </w:r>
      <w:r>
        <w:rPr>
          <w:sz w:val="20"/>
        </w:rPr>
        <w:t xml:space="preserve">****** Estimates &amp; Forecast, by Route of Administration, 2017–2027</w:t>
      </w:r>
    </w:p>
    <w:p>
      <w:pPr>
        <w:jc w:val="both"/>
        <w:spacing w:line="240" w:lineRule="exact"/>
      </w:pPr>
      <w:r>
        <w:rPr>
          <w:sz w:val="22"/>
        </w:rPr>
        <w:t xml:space="preserve">11.5.5.</w:t>
      </w:r>
      <w:r>
        <w:rPr>
          <w:sz w:val="20"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2"/>
        </w:rPr>
        <w:t xml:space="preserve">11.5.6.</w:t>
      </w:r>
      <w:r>
        <w:rPr>
          <w:sz w:val="20"/>
        </w:rPr>
        <w:t xml:space="preserve">Market Estimates &amp; Forecast, ** Region,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11.5.6.1.</w:t>
      </w:r>
      <w:r>
        <w:rPr>
          <w:sz w:val="20"/>
          <w:i/>
        </w:rPr>
        <w:t xml:space="preserve">Middle East</w:t>
      </w:r>
    </w:p>
    <w:p>
      <w:pPr>
        <w:spacing w:line="240" w:lineRule="exact"/>
      </w:pPr>
      <w:r>
        <w:rPr>
          <w:sz w:val="20"/>
          <w:i/>
        </w:rPr>
        <w:t xml:space="preserve">11.5.6.1.1.</w:t>
      </w:r>
      <w:r>
        <w:rPr>
          <w:sz w:val="20"/>
          <w:i/>
        </w:rPr>
        <w:t xml:space="preserve">Market Estimates &amp; Forecast, ** Acne Type, 2017–2027</w:t>
      </w:r>
    </w:p>
    <w:p>
      <w:pPr>
        <w:spacing w:line="240" w:lineRule="exact"/>
      </w:pPr>
      <w:r>
        <w:rPr>
          <w:sz w:val="20"/>
          <w:i/>
        </w:rPr>
        <w:t xml:space="preserve">11.5.6.1.2.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11.5.6.1.3.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11.5.6.1.4.</w:t>
      </w:r>
      <w:r>
        <w:rPr>
          <w:sz w:val="20"/>
          <w:i/>
        </w:rPr>
        <w:t xml:space="preserve">Market Estimates &amp; Forecast, ** Route ** Administration, 2017–2027</w:t>
      </w:r>
    </w:p>
    <w:p>
      <w:pPr>
        <w:spacing w:line="240" w:lineRule="exact"/>
      </w:pPr>
      <w:r>
        <w:rPr>
          <w:sz w:val="20"/>
          <w:i/>
        </w:rPr>
        <w:t xml:space="preserve">11.5.6.1.5.</w:t>
      </w:r>
      <w:r>
        <w:rPr>
          <w:sz w:val="20"/>
          <w:i/>
        </w:rPr>
        <w:t xml:space="preserve">Market Estimates &amp; Forecast, by End User, 2017–2027</w:t>
      </w:r>
    </w:p>
    <w:p>
      <w:pPr>
        <w:jc w:val="both"/>
        <w:spacing w:line="240" w:lineRule="exact"/>
      </w:pPr>
      <w:r>
        <w:rPr>
          <w:sz w:val="20"/>
          <w:b/>
          <w:i/>
        </w:rPr>
        <w:t xml:space="preserve">11.5.6.2.</w:t>
      </w:r>
      <w:r>
        <w:rPr>
          <w:sz w:val="20"/>
          <w:i/>
        </w:rPr>
        <w:t xml:space="preserve">Africa</w:t>
      </w:r>
    </w:p>
    <w:p>
      <w:pPr>
        <w:spacing w:line="240" w:lineRule="exact"/>
      </w:pPr>
      <w:r>
        <w:rPr>
          <w:sz w:val="20"/>
          <w:i/>
        </w:rPr>
        <w:t xml:space="preserve">11.5.6.2.1.</w:t>
      </w:r>
      <w:r>
        <w:rPr>
          <w:sz w:val="20"/>
          <w:i/>
        </w:rPr>
        <w:t xml:space="preserve">Market ********* &amp; Forecast, by **** Type, 2017–2027</w:t>
      </w:r>
    </w:p>
    <w:p>
      <w:pPr>
        <w:spacing w:line="240" w:lineRule="exact"/>
      </w:pPr>
      <w:r>
        <w:rPr>
          <w:sz w:val="20"/>
          <w:i/>
        </w:rPr>
        <w:t xml:space="preserve">11.5.6.2.2.</w:t>
      </w:r>
      <w:r>
        <w:rPr>
          <w:sz w:val="20"/>
          <w:i/>
        </w:rPr>
        <w:t xml:space="preserve">Market Estimates &amp; Forecast, by Treatment, 2017–2027</w:t>
      </w:r>
    </w:p>
    <w:p>
      <w:pPr>
        <w:spacing w:line="240" w:lineRule="exact"/>
      </w:pPr>
      <w:r>
        <w:rPr>
          <w:sz w:val="20"/>
          <w:i/>
        </w:rPr>
        <w:t xml:space="preserve">11.5.6.2.3.</w:t>
      </w:r>
      <w:r>
        <w:rPr>
          <w:sz w:val="20"/>
          <w:i/>
        </w:rPr>
        <w:t xml:space="preserve">Market Estimates &amp; Forecast, by Drug Type, 2017–2027</w:t>
      </w:r>
    </w:p>
    <w:p>
      <w:pPr>
        <w:spacing w:line="240" w:lineRule="exact"/>
      </w:pPr>
      <w:r>
        <w:rPr>
          <w:sz w:val="20"/>
          <w:i/>
        </w:rPr>
        <w:t xml:space="preserve">11.5.6.2.4.</w:t>
      </w:r>
      <w:r>
        <w:rPr>
          <w:sz w:val="20"/>
          <w:i/>
        </w:rPr>
        <w:t xml:space="preserve">Market Estimates &amp; Forecast, by Route of Administration, 2017–2027</w:t>
      </w:r>
    </w:p>
    <w:p>
      <w:pPr>
        <w:spacing w:line="240" w:lineRule="exact"/>
      </w:pPr>
      <w:r>
        <w:rPr>
          <w:sz w:val="20"/>
          <w:i/>
        </w:rPr>
        <w:t xml:space="preserve">11.5.6.2.5.</w:t>
      </w:r>
      <w:r>
        <w:rPr>
          <w:sz w:val="20"/>
          <w:i/>
        </w:rPr>
        <w:t xml:space="preserve">****** Estimates &amp; Forecast, by End User, 2017–2027</w:t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numPr>
          <w:ilvl w:val="0"/>
          <w:numId w:val="4"/>
        </w:numPr>
        <w:spacing w:lineRule="exact"/>
      </w:pPr>
      <w:r>
        <w:rPr/>
        <w:t xml:space="preserve">Competitive Landscape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Overview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Competitive Analysis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Market Share Analysis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Major Growth Strategy in the global Acne ********* market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Competitive Benchmarking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*** ******* Player in terms ** Number of Developments in global Acne Treatment market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Key Developments &amp; Growth Strategies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New Product Launch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Merger &amp; Acquisition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Joint Venture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Major Players Financial ****** &amp; Market Ratio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Sales &amp; Operating Income 2018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Major Players R&amp;D Expenditure 2018</w:t>
      </w:r>
    </w:p>
    <w:p>
      <w:pPr>
        <w:numPr>
          <w:ilvl w:val="0"/>
          <w:numId w:val="4"/>
        </w:numPr>
        <w:spacing w:lineRule="exact"/>
      </w:pPr>
      <w:r>
        <w:rPr/>
        <w:t xml:space="preserve">Company Profiles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ALLERGAN.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Company Overview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Financial Overview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******* Offered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Key Developments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SWOT Analysis</w:t>
      </w:r>
    </w:p>
    <w:p>
      <w:pPr>
        <w:numPr>
          <w:ilvl w:val="2"/>
          <w:numId w:val="4"/>
        </w:numPr>
        <w:spacing w:lineRule="exact"/>
      </w:pPr>
      <w:r>
        <w:rPr>
          <w:sz w:val="20"/>
        </w:rPr>
        <w:t xml:space="preserve">Key Strategies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Galderma S.A.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Stiefel Laboratories, Inc.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Valeant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Johnson &amp; Johnson Services, Inc.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GLAXOSMITHKLINE PLC.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Teva Pharmaceutical Industries Ltd.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Bayer AG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Roche Holding AG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Nestle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Foamix *************** Ltd.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Others</w:t>
      </w:r>
    </w:p>
    <w:p>
      <w:pPr>
        <w:numPr>
          <w:ilvl w:val="0"/>
          <w:numId w:val="4"/>
        </w:numPr>
        <w:spacing w:lineRule="exact"/>
      </w:pPr>
      <w:hyperlink r:id="rId6">
        <w:r>
          <w:rPr/>
        </w:r>
      </w:hyperlink>
      <w:r>
        <w:rPr/>
        <w:t xml:space="preserve">Appendix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References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Related Reports</w:t>
      </w:r>
    </w:p>
    <w:p>
      <w:pPr>
        <w:numPr>
          <w:ilvl w:val="1"/>
          <w:numId w:val="4"/>
        </w:numPr>
        <w:spacing w:lineRule="exact"/>
      </w:pPr>
      <w:r>
        <w:rPr>
          <w:sz w:val="20"/>
        </w:rPr>
        <w:t xml:space="preserve">List of Abbreviations</w:t>
      </w:r>
    </w:p>
    <w:p>
      <w:pPr>
        <w:jc w:val="both"/>
        <w:spacing w:lineRule="exact"/>
      </w:pPr>
      <w:r>
        <w:rPr>
          <w:sz w:val="14"/>
        </w:rPr>
      </w:r>
    </w:p>
    <w:p>
      <w:pPr>
        <w:jc w:val="both"/>
        <w:spacing w:line="240" w:lineRule="exact"/>
      </w:pPr>
      <w:r>
        <w:rPr>
          <w:sz w:val="20"/>
          <w:b/>
        </w:rPr>
        <w:t xml:space="preserve">NOTE</w:t>
      </w:r>
      <w:r>
        <w:rPr>
          <w:sz w:val="20"/>
        </w:rPr>
        <w:t xml:space="preserve">:</w:t>
      </w:r>
    </w:p>
    <w:p>
      <w:pPr>
        <w:jc w:val="both"/>
        <w:spacing w:line="240" w:lineRule="exact"/>
      </w:pPr>
      <w:r>
        <w:rPr>
          <w:sz w:val="20"/>
        </w:rPr>
        <w:t xml:space="preserve">This table of content is tentative and subject to ****** as the research progresses.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In section 13, **** top 10 ********* will be profiled and each company will be profiled based ** the Market Overview, Financials, Product, Portfolio, Business Strategies, and Recent Developments parameters.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Please note: The financial details of the company cannot be provided if the information is not available in the public ****** and or from ******** sources.</w:t>
      </w:r>
    </w:p>
    <w:p>
      <w:pPr>
        <w:spacing w:line="240" w:lineRule="exact"/>
      </w:pPr>
      <w:hyperlink r:id="rId7">
        <w:r>
          <w:rPr>
            <w:sz w:val="20"/>
          </w:rPr>
        </w:r>
      </w:hyperlink>
      <w:r>
        <w:rPr>
          <w:sz w:val="20"/>
        </w:rPr>
        <w:br w:type="textWrapping"/>
      </w:r>
    </w:p>
    <w:p>
      <w:pPr>
        <w:spacing w:lineRule="exact"/>
      </w:pPr>
      <w:r>
        <w:rPr>
          <w:sz w:val="48"/>
          <w:color w:val="0f577d"/>
        </w:rPr>
        <w:t xml:space="preserve">1</w:t>
      </w:r>
      <w:hyperlink r:id="rId8">
        <w:r>
          <w:rPr>
            <w:sz w:val="48"/>
            <w:color w:val="0f577d"/>
          </w:rPr>
          <w:t xml:space="preserve">Executive Summary</w:t>
        </w:r>
      </w:hyperlink>
    </w:p>
    <w:p>
      <w:pPr>
        <w:jc w:val="both"/>
        <w:spacing w:line="240" w:lineRule="exact"/>
      </w:pPr>
      <w:r>
        <w:rPr>
          <w:sz w:val="20"/>
        </w:rPr>
        <w:t xml:space="preserve">**** is a skin ********* that ****** when **** follicles **** with oil and dead skin cells. Treatment for acne includes medications and therapeutic devices.</w:t>
      </w:r>
    </w:p>
    <w:p>
      <w:pPr>
        <w:jc w:val="both"/>
        <w:spacing w:line="240" w:lineRule="exact"/>
      </w:pPr>
      <w:r>
        <w:rPr>
          <w:sz w:val="20"/>
        </w:rPr>
        <w:t xml:space="preserve">Global Acne Treatment ****** ** expected to **** at XX% CAGR during *** forecast period, 2020 to 2027.</w:t>
      </w:r>
    </w:p>
    <w:p>
      <w:pPr>
        <w:jc w:val="both"/>
        <w:spacing w:line="240" w:lineRule="exact"/>
      </w:pPr>
      <w:r>
        <w:rPr>
          <w:sz w:val="20"/>
        </w:rPr>
        <w:t xml:space="preserve">XXXX</w:t>
      </w:r>
    </w:p>
    <w:p>
      <w:pPr>
        <w:spacing w:line="240" w:lineRule="exact"/>
      </w:pPr>
      <w:r>
        <w:rPr>
          <w:sz w:val="20"/>
          <w:b/>
        </w:rPr>
        <w:t xml:space="preserve">TABLE 1</w:t>
      </w:r>
      <w:hyperlink r:id="rId9">
        <w:r>
          <w:rPr>
            <w:sz w:val="20"/>
          </w:rPr>
        </w:r>
      </w:hyperlink>
      <w:hyperlink r:id="rId10">
        <w:r>
          <w:rPr>
            <w:sz w:val="20"/>
          </w:rPr>
        </w:r>
      </w:hyperlink>
      <w:hyperlink r:id="rId11">
        <w:r>
          <w:rPr>
            <w:sz w:val="20"/>
          </w:rPr>
        </w:r>
      </w:hyperlink>
      <w:hyperlink r:id="rId12">
        <w:r>
          <w:rPr>
            <w:sz w:val="20"/>
          </w:rPr>
          <w:t xml:space="preserve">****** synopsis</w:t>
        </w:r>
      </w:hyperlink>
    </w:p>
    <w:tbl>
      <w:tblPr>
        <w:tblBorders>
          <w:top w:val="single" w:sz="600" w:space="0" w:color="69DEBB"/>
          <w:bottom w:val="single" w:sz="600" w:space="0" w:color="69DEBB"/>
          <w:left w:val="single" w:sz="600" w:space="0" w:color="69DEBB"/>
          <w:right w:val="single" w:sz="600" w:space="0" w:color="69DEBB"/>
          <w:insideV w:val="single" w:sz="600" w:space="0" w:color="69DEBB"/>
          <w:insideH w:val="single" w:sz="600" w:space="0" w:color="69DEBB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****** Size</w:t>
            </w:r>
          </w:p>
        </w:tc>
        <w:tc>
          <w:tcPr>
            <w:shd w:val="clear" w:fill="cdf4e8"/>
            <w:vAlign w:val="center"/>
            <w:tcBorders>
              <w:left w:val="single" w:sz="600" w:space="0" w:color="69DEBB"/>
              <w:bottom w:val="single" w:sz="600" w:space="0" w:color="69DEBB"/>
            </w:tcBorders>
          </w:tcPr>
          <w:p>
            <w:pPr>
              <w:spacing w:lineRule="exact"/>
            </w:pPr>
            <w:r>
              <w:rPr/>
            </w:r>
            <w:r>
              <w:rPr/>
            </w:r>
          </w:p>
        </w:tc>
      </w:tr>
      <w:tr>
        <w:trPr>
          <w:cantSplit/>
          <w:trHeight w:val="900" w:hRule="atLeast"/>
        </w:trPr>
        <w:tc>
          <w:tcPr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CAGR (2020–2027)</w:t>
            </w:r>
          </w:p>
        </w:tc>
        <w:tc>
          <w:tcPr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spacing w:lineRule="exact"/>
            </w:pPr>
            <w:r>
              <w:rPr/>
            </w:r>
          </w:p>
        </w:tc>
      </w:t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*** ****** Drivers</w:t>
            </w:r>
          </w:p>
        </w:tc>
        <w:tc>
          <w:tcPr>
            <w:shd w:val="clear" w:fill="cdf4e8"/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spacing w:lineRule="exact"/>
            </w:pPr>
            <w:r>
              <w:rPr/>
            </w:r>
            <w:r>
              <w:rPr/>
            </w:r>
          </w:p>
        </w:tc>
      </w:tr>
      <w:tr>
        <w:trPr>
          <w:cantSplit/>
          <w:trHeight w:val="900" w:hRule="atLeast"/>
        </w:trPr>
        <w:tc>
          <w:tcPr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Key Market Opportunities</w:t>
            </w:r>
          </w:p>
        </w:tc>
        <w:tc>
          <w:tcPr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spacing w:lineRule="exact"/>
            </w:pPr>
            <w:r>
              <w:rPr/>
            </w:r>
          </w:p>
        </w:tc>
      </w:t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top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Key Vendors</w:t>
            </w:r>
          </w:p>
        </w:tc>
        <w:tc>
          <w:tcPr>
            <w:shd w:val="clear" w:fill="cdf4e8"/>
            <w:vAlign w:val="center"/>
            <w:tcBorders>
              <w:top w:val="single" w:sz="600" w:space="0" w:color="69DEBB"/>
              <w:left w:val="single" w:sz="600" w:space="0" w:color="69DEBB"/>
            </w:tcBorders>
          </w:tcPr>
          <w:p>
            <w:pPr>
              <w:spacing w:lineRule="exact"/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</w:tr>
    </w:tbl>
    <w:p>
      <w:pPr>
        <w:spacing w:lineRule="exact"/>
      </w:pPr>
      <w:r>
        <w:rPr/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spacing w:lineRule="exact"/>
      </w:pPr>
      <w:r>
        <w:rPr>
          <w:sz w:val="48"/>
          <w:color w:val="0f577d"/>
        </w:rPr>
        <w:t xml:space="preserve">2</w:t>
      </w:r>
      <w:hyperlink r:id="rId13">
        <w:r>
          <w:rPr>
            <w:sz w:val="48"/>
          </w:rPr>
        </w:r>
      </w:hyperlink>
      <w:hyperlink r:id="rId14">
        <w:r>
          <w:rPr>
            <w:sz w:val="48"/>
          </w:rPr>
        </w:r>
      </w:hyperlink>
      <w:hyperlink r:id="rId15">
        <w:r>
          <w:rPr>
            <w:sz w:val="48"/>
            <w:color w:val="0f577d"/>
          </w:rPr>
          <w:t xml:space="preserve">****** INTRODUCTION</w:t>
        </w:r>
      </w:hyperlink>
    </w:p>
    <w:p>
      <w:pPr>
        <w:spacing w:line="240" w:lineRule="exact"/>
      </w:pPr>
      <w:r>
        <w:rPr>
          <w:sz w:val="26"/>
          <w:color w:val="1575a8"/>
        </w:rPr>
        <w:t xml:space="preserve">2.1</w:t>
      </w:r>
      <w:hyperlink r:id="rId16">
        <w:r>
          <w:rPr>
            <w:sz w:val="26"/>
          </w:rPr>
        </w:r>
      </w:hyperlink>
      <w:hyperlink r:id="rId17">
        <w:r>
          <w:rPr>
            <w:sz w:val="26"/>
          </w:rPr>
        </w:r>
      </w:hyperlink>
      <w:hyperlink r:id="rId18">
        <w:r>
          <w:rPr>
            <w:sz w:val="26"/>
          </w:rPr>
        </w:r>
      </w:hyperlink>
      <w:r>
        <w:rPr>
          <w:sz w:val="26"/>
          <w:color w:val="1575a8"/>
        </w:rPr>
        <w:t xml:space="preserve">SCOPE OF *** STUDY</w:t>
      </w:r>
    </w:p>
    <w:p>
      <w:pPr>
        <w:jc w:val="both"/>
        <w:spacing w:line="240" w:lineRule="exact"/>
      </w:pPr>
      <w:r>
        <w:rPr>
          <w:sz w:val="20"/>
        </w:rPr>
        <w:t xml:space="preserve">*** scope of the global Acne Treatment market study includes the market size analysis and a detailed analysis of the manufacturer’s ******* and strategies. The market *** been segmented based on acne type, treatment, **** type, end user, and region.</w:t>
      </w:r>
    </w:p>
    <w:p>
      <w:pPr>
        <w:jc w:val="both"/>
        <w:spacing w:lineRule="exact"/>
      </w:pPr>
      <w:r>
        <w:rPr>
          <w:sz w:val="14"/>
        </w:rPr>
      </w:r>
    </w:p>
    <w:p>
      <w:pPr>
        <w:spacing w:line="240" w:lineRule="exact"/>
      </w:pPr>
      <w:r>
        <w:rPr>
          <w:sz w:val="26"/>
          <w:color w:val="1575a8"/>
        </w:rPr>
        <w:t xml:space="preserve">2.2</w:t>
      </w:r>
      <w:hyperlink r:id="rId19">
        <w:r>
          <w:rPr>
            <w:sz w:val="26"/>
          </w:rPr>
        </w:r>
      </w:hyperlink>
      <w:hyperlink r:id="rId20">
        <w:r>
          <w:rPr>
            <w:sz w:val="26"/>
          </w:rPr>
        </w:r>
      </w:hyperlink>
      <w:hyperlink r:id="rId21">
        <w:r>
          <w:rPr>
            <w:sz w:val="26"/>
          </w:rPr>
        </w:r>
      </w:hyperlink>
      <w:hyperlink r:id="rId22">
        <w:r>
          <w:rPr>
            <w:sz w:val="26"/>
          </w:rPr>
        </w:r>
      </w:hyperlink>
      <w:hyperlink r:id="rId23">
        <w:r>
          <w:rPr>
            <w:sz w:val="26"/>
          </w:rPr>
        </w:r>
      </w:hyperlink>
      <w:hyperlink r:id="rId24">
        <w:r>
          <w:rPr>
            <w:sz w:val="26"/>
          </w:rPr>
        </w:r>
      </w:hyperlink>
      <w:hyperlink r:id="rId25">
        <w:r>
          <w:rPr>
            <w:sz w:val="26"/>
          </w:rPr>
        </w:r>
      </w:hyperlink>
      <w:hyperlink r:id="rId26">
        <w:r>
          <w:rPr>
            <w:sz w:val="26"/>
            <w:color w:val="1575a8"/>
          </w:rPr>
          <w:t xml:space="preserve">Research Objective</w:t>
        </w:r>
      </w:hyperlink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provide a comprehensive analysis of the Acne Treatment *** its sub-segments in the global market, thereby ********* a ******** structure of the industry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provide detailed insights into factors driving and restraining the growth ** the global **** Treatment market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estimate the market size ** the global Acne Treatment market where 2017 &amp; 2018 would ** the historical period, 2019 shall be the **** year, and 2020 to 2027 will be forecast ****** for *** study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******* the global Acne Treatment market in four main geographies, namely, the Americas, Europe, Asia-Pacific, and the Middle East &amp; Africa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provide country level analysis ** the market for ******** by drug type, acne type, treatment, end user, and region.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provide strategic profiling of key companies (manufacturers and distributors) present ****** the globe, and comprehensively analyze ***** competitiveness/competitive landscape in **** market</w:t>
      </w:r>
    </w:p>
    <w:p>
      <w:pPr>
        <w:spacing w:line="240" w:lineRule="exact"/>
      </w:pPr>
      <w:r>
        <w:rPr>
          <w:sz w:val="20"/>
          <w:color w:val="c52136"/>
        </w:rPr>
        <w:t xml:space="preserve"></w:t>
      </w:r>
      <w:r>
        <w:rPr>
          <w:sz w:val="20"/>
        </w:rPr>
        <w:t xml:space="preserve">To provide a distribution chain analysis/value ***** for the Acne Treatment market</w:t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spacing w:line="240" w:lineRule="exact"/>
      </w:pPr>
      <w:r>
        <w:rPr>
          <w:sz w:val="26"/>
          <w:color w:val="1575a8"/>
        </w:rPr>
        <w:t xml:space="preserve">2.3</w:t>
      </w:r>
      <w:hyperlink r:id="rId27">
        <w:r>
          <w:rPr>
            <w:sz w:val="26"/>
          </w:rPr>
        </w:r>
      </w:hyperlink>
      <w:hyperlink r:id="rId28">
        <w:r>
          <w:rPr>
            <w:sz w:val="26"/>
          </w:rPr>
        </w:r>
      </w:hyperlink>
      <w:hyperlink r:id="rId29">
        <w:r>
          <w:rPr>
            <w:sz w:val="26"/>
          </w:rPr>
        </w:r>
      </w:hyperlink>
      <w:hyperlink r:id="rId30">
        <w:r>
          <w:rPr>
            <w:sz w:val="26"/>
          </w:rPr>
        </w:r>
      </w:hyperlink>
      <w:hyperlink r:id="rId31">
        <w:r>
          <w:rPr>
            <w:sz w:val="26"/>
          </w:rPr>
        </w:r>
      </w:hyperlink>
      <w:hyperlink r:id="rId32">
        <w:r>
          <w:rPr>
            <w:sz w:val="26"/>
            <w:color w:val="1575a8"/>
          </w:rPr>
          <w:t xml:space="preserve">MARKET STRUCTURE</w:t>
        </w:r>
      </w:hyperlink>
    </w:p>
    <w:p>
      <w:pPr>
        <w:spacing w:line="240" w:lineRule="exact"/>
      </w:pPr>
      <w:r>
        <w:rPr>
          <w:sz w:val="20"/>
          <w:b/>
        </w:rPr>
        <w:t xml:space="preserve">****** 1</w:t>
      </w:r>
      <w:hyperlink r:id="rId33">
        <w:r>
          <w:rPr>
            <w:sz w:val="20"/>
          </w:rPr>
        </w:r>
      </w:hyperlink>
      <w:hyperlink r:id="rId34">
        <w:r>
          <w:rPr>
            <w:sz w:val="20"/>
          </w:rPr>
        </w:r>
      </w:hyperlink>
      <w:hyperlink r:id="rId35">
        <w:r>
          <w:rPr>
            <w:sz w:val="20"/>
          </w:rPr>
        </w:r>
      </w:hyperlink>
      <w:hyperlink r:id="rId36">
        <w:r>
          <w:rPr>
            <w:sz w:val="20"/>
          </w:rPr>
        </w:r>
      </w:hyperlink>
      <w:hyperlink r:id="rId37">
        <w:r>
          <w:rPr>
            <w:sz w:val="20"/>
          </w:rPr>
        </w:r>
      </w:hyperlink>
      <w:hyperlink r:id="rId38">
        <w:r>
          <w:rPr>
            <w:sz w:val="20"/>
          </w:rPr>
          <w:t xml:space="preserve">Global Acne ********* Market: Structure</w:t>
        </w:r>
      </w:hyperlink>
    </w:p>
    <w:p>
      <w:pPr>
        <w:jc w:val="center"/>
        <w:spacing w:line="240" w:lineRule="exact"/>
      </w:pPr>
      <w:r>
        <w:rPr>
          <w:sz w:val="16"/>
        </w:rPr>
      </w:r>
    </w:p>
    <w:p>
      <w:pPr>
        <w:jc w:val="both"/>
        <w:spacing w:lineRule="exact"/>
      </w:pPr>
      <w:r>
        <w:rPr>
          <w:sz w:val="14"/>
        </w:rPr>
        <w:t xml:space="preserve">Source: MRFR Analysis</w:t>
      </w:r>
    </w:p>
    <w:p>
      <w:pPr>
        <w:jc w:val="both"/>
        <w:spacing w:lineRule="exact"/>
      </w:pPr>
      <w:r>
        <w:rPr>
          <w:sz w:val="14"/>
        </w:rPr>
      </w:r>
    </w:p>
    <w:p>
      <w:pPr>
        <w:spacing w:line="240" w:lineRule="exact"/>
      </w:pPr>
      <w:r>
        <w:rPr>
          <w:sz w:val="20"/>
        </w:rPr>
        <w:br w:type="textWrapping"/>
      </w:r>
    </w:p>
    <w:p>
      <w:pPr>
        <w:spacing w:line="240" w:lineRule="exact"/>
      </w:pPr>
      <w:r>
        <w:rPr>
          <w:sz w:val="26"/>
          <w:color w:val="1575a8"/>
        </w:rPr>
        <w:t xml:space="preserve">2.4</w:t>
      </w:r>
      <w:r>
        <w:rPr>
          <w:sz w:val="26"/>
          <w:color w:val="1575a8"/>
        </w:rPr>
        <w:t xml:space="preserve">*********** &amp; Limitations</w:t>
      </w:r>
    </w:p>
    <w:p>
      <w:pPr>
        <w:spacing w:line="240" w:lineRule="exact"/>
      </w:pPr>
      <w:r>
        <w:rPr>
          <w:sz w:val="20"/>
          <w:b/>
        </w:rPr>
        <w:t xml:space="preserve">***** 2</w:t>
      </w:r>
      <w:hyperlink r:id="rId39">
        <w:r>
          <w:rPr>
            <w:sz w:val="20"/>
          </w:rPr>
        </w:r>
      </w:hyperlink>
      <w:hyperlink r:id="rId40">
        <w:r>
          <w:rPr>
            <w:sz w:val="20"/>
          </w:rPr>
          <w:t xml:space="preserve">List of assumptions</w:t>
        </w:r>
      </w:hyperlink>
    </w:p>
    <w:tbl>
      <w:tblPr>
        <w:tblBorders>
          <w:top w:val="single" w:sz="600" w:space="0" w:color="69DEBB"/>
          <w:bottom w:val="single" w:sz="600" w:space="0" w:color="69DEBB"/>
          <w:left w:val="single" w:sz="600" w:space="0" w:color="69DEBB"/>
          <w:right w:val="single" w:sz="600" w:space="0" w:color="69DEBB"/>
          <w:insideV w:val="single" w:sz="600" w:space="0" w:color="69DEBB"/>
          <w:insideH w:val="single" w:sz="600" w:space="0" w:color="69DEBB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>
          <w:cantSplit/>
          <w:trHeight w:val="900" w:hRule="atLeast"/>
        </w:trPr>
        <w:tc>
          <w:tcPr>
            <w:vAlign w:val="center"/>
            <w:tcBorders>
              <w:bottom w:val="single" w:sz="600" w:space="0" w:color="69DEBB"/>
              <w:right w:val="single" w:sz="600" w:space="0" w:color="69DEBB"/>
            </w:tcBorders>
          </w:tcPr>
          <w:p>
            <w:pPr>
              <w:jc w:val="center"/>
              <w:spacing w:line="240" w:lineRule="exact"/>
            </w:pPr>
            <w:r>
              <w:rPr>
                <w:sz w:val="20"/>
                <w:b/>
              </w:rPr>
              <w:t xml:space="preserve">Parameter</w:t>
            </w:r>
          </w:p>
        </w:tc>
        <w:tc>
          <w:tcPr>
            <w:vAlign w:val="center"/>
            <w:tcBorders>
              <w:left w:val="single" w:sz="600" w:space="0" w:color="69DEBB"/>
              <w:bottom w:val="single" w:sz="600" w:space="0" w:color="69DEBB"/>
            </w:tcBorders>
          </w:tcPr>
          <w:p>
            <w:pPr>
              <w:jc w:val="center"/>
              <w:spacing w:line="240" w:lineRule="exact"/>
            </w:pPr>
            <w:r>
              <w:rPr>
                <w:sz w:val="20"/>
                <w:b/>
              </w:rPr>
              <w:t xml:space="preserve">Assumption &amp; Limitations</w:t>
            </w:r>
          </w:p>
        </w:tc>
      </w:t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******** value</w:t>
            </w:r>
          </w:p>
        </w:tc>
        <w:tc>
          <w:tcPr>
            <w:shd w:val="clear" w:fill="cdf4e8"/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jc w:val="both"/>
              <w:spacing w:line="240" w:lineRule="exact"/>
            </w:pPr>
            <w:r>
              <w:rPr>
                <w:sz w:val="20"/>
              </w:rPr>
              <w:t xml:space="preserve">All the forecasts are done with the revenue *** volume calculated under *** ******** assumption that the globally accepted currency - the U.S. Dollar's value ******* constant **** the next five years.</w:t>
            </w:r>
          </w:p>
        </w:tc>
      </w:tr>
      <w:tr>
        <w:trPr>
          <w:cantSplit/>
          <w:trHeight w:val="900" w:hRule="atLeast"/>
        </w:trPr>
        <w:tc>
          <w:tcPr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Exchange ***** and currency</w:t>
            </w:r>
          </w:p>
        </w:tc>
        <w:tc>
          <w:tcPr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jc w:val="both"/>
              <w:spacing w:line="240" w:lineRule="exact"/>
            </w:pPr>
            <w:r>
              <w:rPr>
                <w:sz w:val="20"/>
              </w:rPr>
              <w:t xml:space="preserve">*** conversion of ******* currencies to USD, average historical exchange ***** were used according to *** year specified. For all historical and ******* exchange rates required for calculations &amp; currency conversions - OANDA - website was used in this research study.</w:t>
            </w:r>
          </w:p>
        </w:tc>
      </w:t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Conversion</w:t>
            </w:r>
          </w:p>
        </w:tc>
      </w:tr>
      <w:tr>
        <w:trPr>
          <w:cantSplit/>
          <w:trHeight w:val="900" w:hRule="atLeast"/>
        </w:trPr>
        <w:tc>
          <w:tcPr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Niche market segments</w:t>
            </w:r>
          </w:p>
        </w:tc>
        <w:tc>
          <w:tcPr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jc w:val="both"/>
              <w:spacing w:line="240" w:lineRule="exact"/>
            </w:pPr>
            <w:r>
              <w:rPr>
                <w:sz w:val="20"/>
              </w:rPr>
              <w:t xml:space="preserve">For niche market segments ***** accurate data ** the respective timeline was not available, the data was calculated using trend line analysis. In some instances, where mathematical and statistical models could not be applied to arrive at *** number, ************** of specific related trends to that particular market was done</w:t>
            </w:r>
          </w:p>
        </w:tc>
      </w:tr>
      <w:tr>
        <w:trPr>
          <w:cantSplit/>
          <w:trHeight w:val="900" w:hRule="atLeast"/>
        </w:trPr>
        <w:tc>
          <w:tcPr>
            <w:shd w:val="clear" w:fill="cdf4e8"/>
            <w:vAlign w:val="center"/>
            <w:tcBorders>
              <w:top w:val="single" w:sz="600" w:space="0" w:color="69DEBB"/>
              <w:bottom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Qualitative analysis</w:t>
            </w:r>
          </w:p>
        </w:tc>
        <w:tc>
          <w:tcPr>
            <w:shd w:val="clear" w:fill="cdf4e8"/>
            <w:vAlign w:val="center"/>
            <w:tcBorders>
              <w:top w:val="single" w:sz="600" w:space="0" w:color="69DEBB"/>
              <w:left w:val="single" w:sz="600" w:space="0" w:color="69DEBB"/>
              <w:bottom w:val="single" w:sz="600" w:space="0" w:color="69DEBB"/>
            </w:tcBorders>
          </w:tcPr>
          <w:p>
            <w:pPr>
              <w:jc w:val="both"/>
              <w:spacing w:line="240" w:lineRule="exact"/>
            </w:pPr>
            <w:r>
              <w:rPr>
                <w:sz w:val="20"/>
              </w:rPr>
              <w:t xml:space="preserve">The qualitative analysis done from the quantitative **** arrived at is solely based on the understanding of the market and its trends by *** team of ******* involved in making this report.</w:t>
            </w:r>
          </w:p>
        </w:tc>
      </w:tr>
      <w:tr>
        <w:trPr>
          <w:cantSplit/>
          <w:trHeight w:val="900" w:hRule="atLeast"/>
        </w:trPr>
        <w:tc>
          <w:tcPr>
            <w:vAlign w:val="center"/>
            <w:tcBorders>
              <w:top w:val="single" w:sz="600" w:space="0" w:color="69DEBB"/>
              <w:right w:val="single" w:sz="600" w:space="0" w:color="69DEBB"/>
            </w:tcBorders>
          </w:tcPr>
          <w:p>
            <w:pPr>
              <w:spacing w:line="240" w:lineRule="exact"/>
            </w:pPr>
            <w:r>
              <w:rPr>
                <w:sz w:val="20"/>
                <w:b/>
              </w:rPr>
              <w:t xml:space="preserve">******* Selling Prices (ASP)</w:t>
            </w:r>
          </w:p>
        </w:tc>
        <w:tc>
          <w:tcPr>
            <w:vAlign w:val="center"/>
            <w:tcBorders>
              <w:top w:val="single" w:sz="600" w:space="0" w:color="69DEBB"/>
              <w:left w:val="single" w:sz="600" w:space="0" w:color="69DEBB"/>
            </w:tcBorders>
          </w:tcPr>
          <w:p>
            <w:pPr>
              <w:jc w:val="both"/>
              <w:spacing w:line="240" w:lineRule="exact"/>
            </w:pPr>
            <w:r>
              <w:rPr>
                <w:sz w:val="20"/>
              </w:rPr>
              <w:t xml:space="preserve">The ASPs, wherever applied, *** calculated using all kinds of suitable statistical *** mathematical methods and *********** external qualitative factors affecting the prices. All the calculations ************** between the ****** are done considering the finalized ASPs.</w:t>
            </w:r>
          </w:p>
        </w:tc>
      </w:tr>
    </w:tbl>
    <w:p>
      <w:pPr>
        <w:spacing w:lineRule="exact"/>
      </w:pPr>
      <w:r>
        <w:rPr/>
      </w:r>
    </w:p>
    <w:p>
      <w:pPr>
        <w:jc w:val="both"/>
        <w:spacing w:lineRule="exact"/>
      </w:pPr>
      <w:r>
        <w:rPr>
          <w:sz w:val="14"/>
        </w:rPr>
        <w:t xml:space="preserve">Source: MRFR Analysis</w:t>
      </w:r>
    </w:p>
    <w:p>
      <w:pPr>
        <w:jc w:val="both"/>
        <w:spacing w:lineRule="exact"/>
      </w:pPr>
      <w:r>
        <w:rPr>
          <w:sz w:val="14"/>
        </w:rPr>
      </w:r>
    </w:p>
    <w:p>
      <w:pPr>
        <w:jc w:val="both"/>
        <w:spacing w:lineRule="exact"/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</w:r>
      <w:r>
        <w:rPr>
          <w:sz w:val="14"/>
        </w:rPr>
        <w:br w:type="textWrapping"/>
      </w:r>
      <w:r>
        <w:rPr>
          <w:sz w:val="14"/>
        </w:rPr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" TargetMode="External"/>
  <Relationship Id="rId6" Type="http://schemas.openxmlformats.org/officeDocument/2006/relationships/hyperlink" Target="" TargetMode="External"/>
  <Relationship Id="rId7" Type="http://schemas.openxmlformats.org/officeDocument/2006/relationships/hyperlink" Target="" TargetMode="External"/>
  <Relationship Id="rId8" Type="http://schemas.openxmlformats.org/officeDocument/2006/relationships/hyperlink" Target="" TargetMode="External"/>
  <Relationship Id="rId9" Type="http://schemas.openxmlformats.org/officeDocument/2006/relationships/hyperlink" Target="" TargetMode="External"/>
  <Relationship Id="rId10" Type="http://schemas.openxmlformats.org/officeDocument/2006/relationships/hyperlink" Target="" TargetMode="External"/>
  <Relationship Id="rId11" Type="http://schemas.openxmlformats.org/officeDocument/2006/relationships/hyperlink" Target="" TargetMode="External"/>
  <Relationship Id="rId12" Type="http://schemas.openxmlformats.org/officeDocument/2006/relationships/hyperlink" Target="" TargetMode="External"/>
  <Relationship Id="rId13" Type="http://schemas.openxmlformats.org/officeDocument/2006/relationships/hyperlink" Target="" TargetMode="External"/>
  <Relationship Id="rId14" Type="http://schemas.openxmlformats.org/officeDocument/2006/relationships/hyperlink" Target="" TargetMode="External"/>
  <Relationship Id="rId15" Type="http://schemas.openxmlformats.org/officeDocument/2006/relationships/hyperlink" Target="" TargetMode="External"/>
  <Relationship Id="rId16" Type="http://schemas.openxmlformats.org/officeDocument/2006/relationships/hyperlink" Target="" TargetMode="External"/>
  <Relationship Id="rId17" Type="http://schemas.openxmlformats.org/officeDocument/2006/relationships/hyperlink" Target="" TargetMode="External"/>
  <Relationship Id="rId18" Type="http://schemas.openxmlformats.org/officeDocument/2006/relationships/hyperlink" Target="" TargetMode="External"/>
  <Relationship Id="rId19" Type="http://schemas.openxmlformats.org/officeDocument/2006/relationships/hyperlink" Target="" TargetMode="External"/>
  <Relationship Id="rId20" Type="http://schemas.openxmlformats.org/officeDocument/2006/relationships/hyperlink" Target="" TargetMode="External"/>
  <Relationship Id="rId21" Type="http://schemas.openxmlformats.org/officeDocument/2006/relationships/hyperlink" Target="" TargetMode="External"/>
  <Relationship Id="rId22" Type="http://schemas.openxmlformats.org/officeDocument/2006/relationships/hyperlink" Target="" TargetMode="External"/>
  <Relationship Id="rId23" Type="http://schemas.openxmlformats.org/officeDocument/2006/relationships/hyperlink" Target="" TargetMode="External"/>
  <Relationship Id="rId24" Type="http://schemas.openxmlformats.org/officeDocument/2006/relationships/hyperlink" Target="" TargetMode="External"/>
  <Relationship Id="rId25" Type="http://schemas.openxmlformats.org/officeDocument/2006/relationships/hyperlink" Target="" TargetMode="External"/>
  <Relationship Id="rId26" Type="http://schemas.openxmlformats.org/officeDocument/2006/relationships/hyperlink" Target="" TargetMode="External"/>
  <Relationship Id="rId27" Type="http://schemas.openxmlformats.org/officeDocument/2006/relationships/hyperlink" Target="" TargetMode="External"/>
  <Relationship Id="rId28" Type="http://schemas.openxmlformats.org/officeDocument/2006/relationships/hyperlink" Target="" TargetMode="External"/>
  <Relationship Id="rId29" Type="http://schemas.openxmlformats.org/officeDocument/2006/relationships/hyperlink" Target="" TargetMode="External"/>
  <Relationship Id="rId30" Type="http://schemas.openxmlformats.org/officeDocument/2006/relationships/hyperlink" Target="" TargetMode="External"/>
  <Relationship Id="rId31" Type="http://schemas.openxmlformats.org/officeDocument/2006/relationships/hyperlink" Target="" TargetMode="External"/>
  <Relationship Id="rId32" Type="http://schemas.openxmlformats.org/officeDocument/2006/relationships/hyperlink" Target="" TargetMode="External"/>
  <Relationship Id="rId33" Type="http://schemas.openxmlformats.org/officeDocument/2006/relationships/hyperlink" Target="" TargetMode="External"/>
  <Relationship Id="rId34" Type="http://schemas.openxmlformats.org/officeDocument/2006/relationships/hyperlink" Target="" TargetMode="External"/>
  <Relationship Id="rId35" Type="http://schemas.openxmlformats.org/officeDocument/2006/relationships/hyperlink" Target="" TargetMode="External"/>
  <Relationship Id="rId36" Type="http://schemas.openxmlformats.org/officeDocument/2006/relationships/hyperlink" Target="" TargetMode="External"/>
  <Relationship Id="rId37" Type="http://schemas.openxmlformats.org/officeDocument/2006/relationships/hyperlink" Target="" TargetMode="External"/>
  <Relationship Id="rId38" Type="http://schemas.openxmlformats.org/officeDocument/2006/relationships/hyperlink" Target="" TargetMode="External"/>
  <Relationship Id="rId39" Type="http://schemas.openxmlformats.org/officeDocument/2006/relationships/hyperlink" Target="" TargetMode="External"/>
  <Relationship Id="rId40" Type="http://schemas.openxmlformats.org/officeDocument/2006/relationships/hyperlink" Target="" TargetMode="Ex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2020-12-02T15:05:58.295Z</dcterms:created>
  <dcterms:modified xsi:type="dcterms:W3CDTF">2020-12-02T15:05:58.295Z</dcterms:modified>
</cp:coreProperties>
</file>