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58BDA">
      <w:pPr>
        <w:spacing w:before="0" w:after="200"/>
        <w:ind w:firstLine="0"/>
        <w:jc w:val="center"/>
      </w:pPr>
      <w:r>
        <w:rPr>
          <w:rFonts w:ascii="Times New Roman" w:hAnsi="Times New Roman" w:eastAsia="Times New Roman"/>
          <w:b w:val="0"/>
          <w:i w:val="0"/>
          <w:sz w:val="40"/>
        </w:rPr>
        <w:t>Bayesian Belief Network-Driven Proactive Fault Tolerance for Microservice Placement in Fog Computing Environments</w:t>
      </w:r>
    </w:p>
    <w:p w14:paraId="4FA18598">
      <w:pPr>
        <w:spacing w:before="40" w:after="0"/>
        <w:ind w:firstLine="0"/>
        <w:jc w:val="center"/>
        <w:rPr>
          <w:rFonts w:hint="default"/>
          <w:lang w:val="en-US"/>
        </w:rPr>
      </w:pPr>
      <w:r>
        <w:rPr>
          <w:rFonts w:hint="default"/>
          <w:lang w:val="en-US"/>
        </w:rPr>
        <w:t>Rahul Akshath Rajendran</w:t>
      </w:r>
    </w:p>
    <w:p w14:paraId="7B9D9DE1">
      <w:pPr>
        <w:spacing w:before="0" w:after="0"/>
        <w:ind w:firstLine="0"/>
        <w:jc w:val="center"/>
        <w:rPr>
          <w:rFonts w:hint="default"/>
          <w:lang w:val="en-US"/>
        </w:rPr>
      </w:pPr>
      <w:r>
        <w:rPr>
          <w:rFonts w:hint="default"/>
          <w:lang w:val="en-US"/>
        </w:rPr>
        <w:t>3122235002095</w:t>
      </w:r>
    </w:p>
    <w:p w14:paraId="6AE81BB1">
      <w:pPr>
        <w:spacing w:before="40" w:after="0"/>
        <w:ind w:firstLine="0"/>
        <w:jc w:val="center"/>
        <w:rPr>
          <w:rFonts w:hint="default"/>
          <w:lang w:val="en-US"/>
        </w:rPr>
      </w:pPr>
      <w:r>
        <w:rPr>
          <w:rFonts w:hint="default"/>
          <w:lang w:val="en-US"/>
        </w:rPr>
        <w:t>Mohit R</w:t>
      </w:r>
    </w:p>
    <w:p w14:paraId="4F0164E7">
      <w:pPr>
        <w:spacing w:before="0" w:after="0"/>
        <w:ind w:firstLine="0"/>
        <w:jc w:val="center"/>
        <w:rPr>
          <w:rFonts w:hint="default"/>
          <w:lang w:val="en-US"/>
        </w:rPr>
      </w:pPr>
      <w:r>
        <w:rPr>
          <w:rFonts w:hint="default"/>
          <w:lang w:val="en-US"/>
        </w:rPr>
        <w:t>3122235002072</w:t>
      </w:r>
    </w:p>
    <w:p w14:paraId="4FDD26A5">
      <w:pPr>
        <w:spacing w:before="40" w:after="0"/>
        <w:ind w:firstLine="0"/>
        <w:jc w:val="center"/>
        <w:rPr>
          <w:rFonts w:hint="default"/>
          <w:lang w:val="en-US"/>
        </w:rPr>
      </w:pPr>
      <w:r>
        <w:rPr>
          <w:rFonts w:hint="default"/>
          <w:b w:val="0"/>
          <w:i w:val="0"/>
          <w:sz w:val="22"/>
          <w:lang w:val="en-US"/>
        </w:rPr>
        <w:t>Dr Sabireen H</w:t>
      </w:r>
      <w:r>
        <w:rPr>
          <w:rFonts w:ascii="Times New Roman" w:hAnsi="Times New Roman" w:eastAsia="Times New Roman"/>
          <w:b w:val="0"/>
          <w:i w:val="0"/>
          <w:sz w:val="22"/>
        </w:rPr>
        <w:t xml:space="preserve">, </w:t>
      </w:r>
      <w:r>
        <w:rPr>
          <w:rFonts w:hint="default"/>
          <w:b w:val="0"/>
          <w:i w:val="0"/>
          <w:sz w:val="22"/>
          <w:lang w:val="en-US"/>
        </w:rPr>
        <w:t>Assistant Professor</w:t>
      </w:r>
    </w:p>
    <w:p w14:paraId="2E706F73">
      <w:pPr>
        <w:spacing w:before="0" w:after="0"/>
        <w:ind w:firstLine="0"/>
        <w:jc w:val="center"/>
      </w:pPr>
      <w:r>
        <w:rPr>
          <w:rFonts w:ascii="Times New Roman" w:hAnsi="Times New Roman" w:eastAsia="Times New Roman"/>
          <w:b w:val="0"/>
          <w:i/>
          <w:sz w:val="18"/>
        </w:rPr>
        <w:t>Project Guide</w:t>
      </w:r>
    </w:p>
    <w:p w14:paraId="3FB56714">
      <w:pPr>
        <w:spacing w:before="0" w:after="0"/>
        <w:ind w:firstLine="0"/>
        <w:jc w:val="center"/>
      </w:pPr>
      <w:r>
        <w:rPr>
          <w:rFonts w:ascii="Times New Roman" w:hAnsi="Times New Roman" w:eastAsia="Times New Roman"/>
          <w:b w:val="0"/>
          <w:i/>
          <w:sz w:val="18"/>
        </w:rPr>
        <w:t>Department of Information Technology</w:t>
      </w:r>
    </w:p>
    <w:p w14:paraId="2654ACBE">
      <w:pPr>
        <w:spacing w:before="0" w:after="0"/>
        <w:ind w:firstLine="0"/>
        <w:jc w:val="center"/>
      </w:pPr>
      <w:r>
        <w:rPr>
          <w:rFonts w:ascii="Times New Roman" w:hAnsi="Times New Roman" w:eastAsia="Times New Roman"/>
          <w:b w:val="0"/>
          <w:i/>
          <w:sz w:val="18"/>
        </w:rPr>
        <w:t>SSN College of Engineering, Kalavakkam, Chennai, India</w:t>
      </w:r>
    </w:p>
    <w:p w14:paraId="1583A391">
      <w:pPr>
        <w:spacing w:before="0" w:after="0"/>
        <w:ind w:firstLine="0"/>
        <w:jc w:val="center"/>
      </w:pPr>
      <w:r>
        <w:rPr>
          <w:rFonts w:ascii="Times New Roman" w:hAnsi="Times New Roman" w:eastAsia="Times New Roman"/>
          <w:b w:val="0"/>
          <w:i/>
          <w:sz w:val="18"/>
        </w:rPr>
        <w:t>{</w:t>
      </w:r>
      <w:r>
        <w:rPr>
          <w:rFonts w:hint="default"/>
          <w:b w:val="0"/>
          <w:i/>
          <w:sz w:val="18"/>
          <w:lang w:val="en-US"/>
        </w:rPr>
        <w:t>rahul2310405</w:t>
      </w:r>
      <w:r>
        <w:rPr>
          <w:rFonts w:ascii="Times New Roman" w:hAnsi="Times New Roman" w:eastAsia="Times New Roman"/>
          <w:b w:val="0"/>
          <w:i/>
          <w:sz w:val="18"/>
        </w:rPr>
        <w:t xml:space="preserve">, </w:t>
      </w:r>
      <w:r>
        <w:rPr>
          <w:rFonts w:hint="default"/>
          <w:b w:val="0"/>
          <w:i/>
          <w:sz w:val="18"/>
          <w:lang w:val="en-US"/>
        </w:rPr>
        <w:t>mohit2310893</w:t>
      </w:r>
      <w:r>
        <w:rPr>
          <w:rFonts w:ascii="Times New Roman" w:hAnsi="Times New Roman" w:eastAsia="Times New Roman"/>
          <w:b w:val="0"/>
          <w:i/>
          <w:sz w:val="18"/>
        </w:rPr>
        <w:t xml:space="preserve">, </w:t>
      </w:r>
      <w:r>
        <w:rPr>
          <w:rFonts w:hint="default"/>
          <w:b w:val="0"/>
          <w:i/>
          <w:sz w:val="18"/>
          <w:lang w:val="en-US"/>
        </w:rPr>
        <w:t>sabireenh</w:t>
      </w:r>
      <w:bookmarkStart w:id="0" w:name="_GoBack"/>
      <w:bookmarkEnd w:id="0"/>
      <w:r>
        <w:rPr>
          <w:rFonts w:ascii="Times New Roman" w:hAnsi="Times New Roman" w:eastAsia="Times New Roman"/>
          <w:b w:val="0"/>
          <w:i/>
          <w:sz w:val="18"/>
        </w:rPr>
        <w:t>}@ssn.edu.in</w:t>
      </w:r>
    </w:p>
    <w:p w14:paraId="2BF19C00">
      <w:pPr>
        <w:spacing w:before="0" w:after="120"/>
        <w:ind w:firstLine="0"/>
      </w:pPr>
    </w:p>
    <w:p w14:paraId="73CCE9FA">
      <w:pPr>
        <w:sectPr>
          <w:type w:val="continuous"/>
          <w:pgSz w:w="11909" w:h="16834"/>
          <w:pgMar w:top="1080" w:right="907" w:bottom="1080" w:left="907" w:header="720" w:footer="720" w:gutter="0"/>
          <w:cols w:space="360" w:num="1"/>
          <w:docGrid w:linePitch="360" w:charSpace="0"/>
        </w:sectPr>
      </w:pPr>
    </w:p>
    <w:p w14:paraId="200C4E35">
      <w:pPr>
        <w:spacing w:after="120"/>
        <w:jc w:val="both"/>
      </w:pPr>
      <w:r>
        <w:rPr>
          <w:rFonts w:ascii="Times New Roman" w:hAnsi="Times New Roman"/>
          <w:b/>
          <w:i/>
          <w:sz w:val="18"/>
        </w:rPr>
        <w:t>Abstract—Fog computing extends cloud services to the network edge in order to satisfy the stringent latency requirements of Internet-of-Things (IoT) applications such as remote cardiac monitoring, intelligent video surveillance and immersive gaming. The fog nodes that host these applications are, however, heterogeneous, resource-constrained and considerably less reliable than data-centre hardware, so the failure of a single node can breach the deadline of a safety-critical service. Existing fog fault-tolerance mechanisms are predominantly reactive: checkpoint-and-restore, primary-backup replication, acknowledgement-based retransmission and heartbeat-driven failover all take effect only after a fault has already manifested, and therefore incur a recovery latency that latency-critical workloads cannot absorb. The few proactive schemes reported in the literature trigger migration on a single fixed threshold applied to a single metric, which neither captures the multi-causal nature of fog node degradation nor tolerates missing or noisy telemetry. This paper proposes a Bayesian Belief Network (BBN) driven proactive fault-tolerance framework for microservice placement in fog environments. The framework contributes: (i) a causal BBN that infers the posterior probability of node failure within a look-ahead horizon from partial and noisy telemetry and exposes an explainable causal chain rather than an opaque score; (ii) a risk-aware placement and expected-loss migration policy that replaces fixed thresholds with a cost-sensitive decision rule; and (iii) a criticality-aware selective replication scheme that allocates standby capacity in proportion to predicted risk and application criticality. The framework is being realised as an extension to the iFogSim2 simulator and will be evaluated on the Melbourne CBD edge-resource and user-mobility datasets against representative reactive and threshold-based baselines.</w:t>
      </w:r>
    </w:p>
    <w:p w14:paraId="58597192">
      <w:pPr>
        <w:spacing w:after="200"/>
        <w:jc w:val="both"/>
      </w:pPr>
      <w:r>
        <w:rPr>
          <w:rFonts w:ascii="Times New Roman" w:hAnsi="Times New Roman"/>
          <w:b/>
          <w:i/>
          <w:sz w:val="18"/>
        </w:rPr>
        <w:t>Index Terms—Bayesian belief network, fog computing, proactive fault tolerance, microservice placement, reliability, iFogSim2, Internet of Things, probabilistic inference.</w:t>
      </w:r>
    </w:p>
    <w:p w14:paraId="341BD40D">
      <w:pPr>
        <w:spacing w:before="220" w:after="80"/>
        <w:jc w:val="center"/>
      </w:pPr>
      <w:r>
        <w:rPr>
          <w:rFonts w:ascii="Times New Roman" w:hAnsi="Times New Roman"/>
          <w:smallCaps/>
          <w:sz w:val="20"/>
        </w:rPr>
        <w:t>I.  Introduction</w:t>
      </w:r>
    </w:p>
    <w:p w14:paraId="455854BD">
      <w:pPr>
        <w:spacing w:before="0" w:after="60"/>
        <w:ind w:firstLine="288"/>
        <w:jc w:val="both"/>
      </w:pPr>
      <w:r>
        <w:rPr>
          <w:rFonts w:ascii="Times New Roman" w:hAnsi="Times New Roman" w:eastAsia="Times New Roman"/>
          <w:b w:val="0"/>
          <w:i w:val="0"/>
          <w:sz w:val="20"/>
        </w:rPr>
        <w:t>The proliferation of latency-sensitive Internet-of-Things (IoT) applications has exposed a structural limitation of the centralised cloud model. An electrocardiogram stream that must be classified within a few tens of milliseconds, or a surveillance feed that must trigger a pan-tilt-zoom actuator before a tracked object leaves the frame, cannot tolerate the round-trip delay to a distant data centre. Fog computing addresses this by interposing a tier of computational resources - gateways, routers, base stations and micro data centres - between the end devices and the cloud, so that application modules execute within one or two network hops of the sensors that feed them [14], [15].</w:t>
      </w:r>
    </w:p>
    <w:p w14:paraId="28F982DE">
      <w:pPr>
        <w:spacing w:before="0" w:after="60"/>
        <w:ind w:firstLine="288"/>
        <w:jc w:val="both"/>
      </w:pPr>
      <w:r>
        <w:rPr>
          <w:rFonts w:ascii="Times New Roman" w:hAnsi="Times New Roman" w:eastAsia="Times New Roman"/>
          <w:b w:val="0"/>
          <w:i w:val="0"/>
          <w:sz w:val="20"/>
        </w:rPr>
        <w:t>This proximity is purchased at the cost of reliability. Whereas a cloud data centre offers redundant power, cooling and network paths, a fog node is frequently a commodity device deployed in an uncontrolled environment, sharing a constrained uplink, operating on limited or battery power, and serving mobile users whose handovers continually reshape the load it carries. Empirical studies of distributed infrastructure consistently report that such nodes fail far more often than data-centre hosts, and that failures are rarely instantaneous: a node typically degrades through a period of rising utilisation, thermal stress, queue build-up and link deterioration before it becomes unresponsive [11]. That degradation window is precisely the opportunity that a proactive mechanism should exploit.</w:t>
      </w:r>
    </w:p>
    <w:p w14:paraId="47AAECD2">
      <w:pPr>
        <w:spacing w:before="0" w:after="60"/>
        <w:ind w:firstLine="288"/>
        <w:jc w:val="both"/>
      </w:pPr>
      <w:r>
        <w:rPr>
          <w:rFonts w:ascii="Times New Roman" w:hAnsi="Times New Roman" w:eastAsia="Times New Roman"/>
          <w:b w:val="0"/>
          <w:i w:val="0"/>
          <w:sz w:val="20"/>
        </w:rPr>
        <w:t>The fog fault-tolerance literature has, however, largely declined to exploit it. The dominant mechanisms - dynamic checkpointing [1], acknowledgement-based retransmission [2], heartbeat monitoring with failover to a replicated backup [3] - are reactive by construction. They detect the absence of a response or the loss of a message, and then initiate recovery. For a best-effort workload this is adequate; for a cardiac arrhythmia classifier it means that the very interval during which an alarm should have been raised is consumed by state restoration. Even the schemes that describe themselves as proactive reduce the decision to a single scalar comparison, such as creating a checkpoint whenever CPU utilisation exceeds twenty per cent [1], or migrating a microservice when a composite health index falls below a preset fault threshold [5]. A fixed threshold on a single metric is simultaneously too eager and too late: it fires on transient load spikes that resolve without incident, and it stays silent when a node is degrading along a dimension the metric does not observe.</w:t>
      </w:r>
    </w:p>
    <w:p w14:paraId="48D837BC">
      <w:pPr>
        <w:spacing w:before="0" w:after="60"/>
        <w:ind w:firstLine="288"/>
        <w:jc w:val="both"/>
      </w:pPr>
      <w:r>
        <w:rPr>
          <w:rFonts w:ascii="Times New Roman" w:hAnsi="Times New Roman" w:eastAsia="Times New Roman"/>
          <w:b w:val="0"/>
          <w:i w:val="0"/>
          <w:sz w:val="20"/>
        </w:rPr>
        <w:t>What is missing is a principled representation of uncertainty. Fog node health is a latent condition, inferred indirectly from several noisy and mutually dependent indicators, some of which may be unavailable at any given instant because a telemetry agent has itself been affected. Bayesian Belief Networks (BBNs) are the canonical formalism for exactly this situation. A BBN encodes causal structure as a directed acyclic graph and quantifies it with conditional probability tables, supports exact inference of a posterior over an unobserved variable given whatever evidence happens to be available, degrades gracefully when evidence is partial by marginalising over the missing variables, and permits expert knowledge to be combined with observed data [6]. BBNs have been applied with documented success to software defect and reliability prediction [7], to dependability, risk analysis and maintenance in industrial systems [8], and to environmental modelling under sparse observation [9]. Their transfer to fog reliability management is natural and, to the best of our knowledge, unexplored.</w:t>
      </w:r>
    </w:p>
    <w:p w14:paraId="0BF97D1D">
      <w:pPr>
        <w:spacing w:before="0" w:after="60"/>
        <w:ind w:firstLine="288"/>
        <w:jc w:val="both"/>
      </w:pPr>
      <w:r>
        <w:rPr>
          <w:rFonts w:ascii="Times New Roman" w:hAnsi="Times New Roman" w:eastAsia="Times New Roman"/>
          <w:b w:val="0"/>
          <w:i w:val="0"/>
          <w:sz w:val="20"/>
        </w:rPr>
        <w:t>This paper proposes a proactive fault-tolerance framework in which a BBN estimates, for every fog node, the probability that it will fail within a look-ahead horizon, and in which that posterior drives placement, migration and redundancy decisions. The contributions are threefold:</w:t>
      </w:r>
    </w:p>
    <w:p w14:paraId="421D8CE3">
      <w:pPr>
        <w:pStyle w:val="23"/>
        <w:spacing w:after="60"/>
        <w:ind w:left="360"/>
        <w:jc w:val="both"/>
      </w:pPr>
      <w:r>
        <w:rPr>
          <w:rFonts w:ascii="Times New Roman" w:hAnsi="Times New Roman"/>
          <w:sz w:val="20"/>
        </w:rPr>
        <w:t>A BBN-based failure-prediction engine that infers the posterior probability of imminent node failure from heterogeneous telemetry, tolerates missing and noisy evidence, exposes the causal chain responsible for each prediction, and adapts its conditional probability tables online from observed outcomes.</w:t>
      </w:r>
    </w:p>
    <w:p w14:paraId="3288544B">
      <w:pPr>
        <w:pStyle w:val="23"/>
        <w:spacing w:after="60"/>
        <w:ind w:left="360"/>
        <w:jc w:val="both"/>
      </w:pPr>
      <w:r>
        <w:rPr>
          <w:rFonts w:ascii="Times New Roman" w:hAnsi="Times New Roman"/>
          <w:sz w:val="20"/>
        </w:rPr>
        <w:t>A risk-aware placement and expected-loss migration policy in which the BBN posterior enters a multi-objective utility over latency, energy and risk, and in which migration is triggered by a cost-sensitive expected-loss comparison rather than a fixed threshold.</w:t>
      </w:r>
    </w:p>
    <w:p w14:paraId="414D1FAE">
      <w:pPr>
        <w:pStyle w:val="23"/>
        <w:spacing w:after="60"/>
        <w:ind w:left="360"/>
        <w:jc w:val="both"/>
      </w:pPr>
      <w:r>
        <w:rPr>
          <w:rFonts w:ascii="Times New Roman" w:hAnsi="Times New Roman"/>
          <w:sz w:val="20"/>
        </w:rPr>
        <w:t>A criticality-aware selective replication scheme that allocates standby capacity in proportion to the product of predicted risk and application criticality, so that redundancy is spent where it changes the outcome instead of uniformly across all modules.</w:t>
      </w:r>
    </w:p>
    <w:p w14:paraId="74CCC764">
      <w:pPr>
        <w:spacing w:before="0" w:after="60"/>
        <w:ind w:firstLine="288"/>
        <w:jc w:val="both"/>
      </w:pPr>
      <w:r>
        <w:rPr>
          <w:rFonts w:ascii="Times New Roman" w:hAnsi="Times New Roman" w:eastAsia="Times New Roman"/>
          <w:b w:val="0"/>
          <w:i w:val="0"/>
          <w:sz w:val="20"/>
        </w:rPr>
        <w:t>The remainder of the paper is organised as follows. Section II surveys reactive and proactive fault tolerance in fog computing and the use of BBNs in reliability engineering, and identifies the research gap. Section III presents the proposed framework, its block diagram and its workflow. Section IV describes the simulation environment, the datasets and the evaluation plan. Section V concludes and outlines the work planned for Phase II.</w:t>
      </w:r>
    </w:p>
    <w:p w14:paraId="1A949541">
      <w:pPr>
        <w:spacing w:before="220" w:after="80"/>
        <w:jc w:val="center"/>
      </w:pPr>
      <w:r>
        <w:rPr>
          <w:rFonts w:ascii="Times New Roman" w:hAnsi="Times New Roman"/>
          <w:smallCaps/>
          <w:sz w:val="20"/>
        </w:rPr>
        <w:t>II.  Literature Survey</w:t>
      </w:r>
    </w:p>
    <w:p w14:paraId="5AC9D425">
      <w:pPr>
        <w:spacing w:before="140" w:after="60"/>
      </w:pPr>
      <w:r>
        <w:rPr>
          <w:rFonts w:ascii="Times New Roman" w:hAnsi="Times New Roman"/>
          <w:i/>
          <w:sz w:val="20"/>
        </w:rPr>
        <w:t>A.  Reactive Fault Tolerance in Fog Environments</w:t>
      </w:r>
    </w:p>
    <w:p w14:paraId="12A88AE9">
      <w:pPr>
        <w:spacing w:before="0" w:after="60"/>
        <w:ind w:firstLine="288"/>
        <w:jc w:val="both"/>
      </w:pPr>
      <w:r>
        <w:rPr>
          <w:rFonts w:ascii="Times New Roman" w:hAnsi="Times New Roman" w:eastAsia="Times New Roman"/>
          <w:b w:val="0"/>
          <w:i w:val="0"/>
          <w:sz w:val="20"/>
        </w:rPr>
        <w:t>Rajab and Younis [1] propose a dynamic fault-tolerance-aware scheduling approach for healthcare systems on fog computing. Their scheme combines Dynamic Weighted Round Robin (DWRR) scheduling, in which each fog server is assigned a weight derived from its current CPU and memory utilisation, with primary-backup replication and dynamic checkpointing. Rather than checkpointing at fixed intervals, the system creates a checkpoint whenever CPU utilisation crosses a threshold of 0.2, and every checkpoint is replicated to a designated backup server so that execution can resume from the most recent saved state if the primary fails. The work demonstrates a clear throughput benefit from load-aware distribution and a reduced re-execution cost from adaptive checkpointing. Its limitations are equally clear: the threshold is fixed and workload-independent, the backup server consumes storage whether or not a failure ever occurs, evaluation is confined to a healthcare scenario, and the system possesses no capacity to anticipate a failure before the threshold condition is met.</w:t>
      </w:r>
    </w:p>
    <w:p w14:paraId="643C6280">
      <w:pPr>
        <w:spacing w:before="0" w:after="60"/>
        <w:ind w:firstLine="288"/>
        <w:jc w:val="both"/>
      </w:pPr>
      <w:r>
        <w:rPr>
          <w:rFonts w:ascii="Times New Roman" w:hAnsi="Times New Roman" w:eastAsia="Times New Roman"/>
          <w:b w:val="0"/>
          <w:i w:val="0"/>
          <w:sz w:val="20"/>
        </w:rPr>
        <w:t>Syed et al. [2] address reliability in vehicular networks through QAFT-SDVN, which integrates software-defined networking with a cloud-fog substrate. A centralised SDN controller classifies each message by type, deadline and size, assigns a priority accordingly, and routes safety-critical traffic such as ambulance alerts to the nearest fog node while queueing non-safety traffic at lower priority. Fault tolerance is provided by acknowledgement-based retransmission: the sender awaits an ACK and retransmits if none arrives within the expected interval. The approach roughly halves response time for prioritised traffic and reduces the message failure ratio, but recovery is purely reactive and consists solely of retransmission. No backup execution, checkpointing or replica management is provided, the additional ACK traffic inflates network load, and the design is specialised to the vehicular domain.</w:t>
      </w:r>
    </w:p>
    <w:p w14:paraId="7C47042B">
      <w:pPr>
        <w:spacing w:before="0" w:after="60"/>
        <w:ind w:firstLine="288"/>
        <w:jc w:val="both"/>
      </w:pPr>
      <w:r>
        <w:rPr>
          <w:rFonts w:ascii="Times New Roman" w:hAnsi="Times New Roman" w:eastAsia="Times New Roman"/>
          <w:b w:val="0"/>
          <w:i w:val="0"/>
          <w:sz w:val="20"/>
        </w:rPr>
        <w:t>Naim et al. [3] place a fog middleware between users and application servers to improve availability. The middleware polls the primary server with heartbeat requests, maintains a replicated backup containing the same application and data, and on detecting the absence of a heartbeat response activates the backup and transparently redirects all subsequent user requests to it. A prototype recovered from three of four simulated failure scenarios without manual intervention. The mechanism is nevertheless strictly detection-driven: it waits until the server has already stopped responding, considers only a single backup so that a correlated double failure is unrecoverable, imposes continuous heartbeat overhead, and performs no load-aware server selection.</w:t>
      </w:r>
    </w:p>
    <w:p w14:paraId="0936DBE6">
      <w:pPr>
        <w:spacing w:before="140" w:after="60"/>
      </w:pPr>
      <w:r>
        <w:rPr>
          <w:rFonts w:ascii="Times New Roman" w:hAnsi="Times New Roman"/>
          <w:i/>
          <w:sz w:val="20"/>
        </w:rPr>
        <w:t>B.  Optimisation-Based and Threshold-Based Proactive Placement</w:t>
      </w:r>
    </w:p>
    <w:p w14:paraId="08D55DCB">
      <w:pPr>
        <w:spacing w:before="0" w:after="60"/>
        <w:ind w:firstLine="288"/>
        <w:jc w:val="both"/>
      </w:pPr>
      <w:r>
        <w:rPr>
          <w:rFonts w:ascii="Times New Roman" w:hAnsi="Times New Roman" w:eastAsia="Times New Roman"/>
          <w:b w:val="0"/>
          <w:i w:val="0"/>
          <w:sz w:val="20"/>
        </w:rPr>
        <w:t>Reyana et al. [4] propose QoS-EO, a hybrid task-placement approach that combines Particle Swarm Optimisation with the Artificial Bee Colony algorithm. Candidate solutions encode task-to-node assignments and are scored by a fitness function over response time, energy consumption, reliability, throughput and execution cost; PSO drives the swarm towards better assignments while ABC's worker, onlooker and scout phases refine and diversify the search. Better placement reduces node overload and thereby improves fault tolerance indirectly. The cost is computational: running two metaheuristics in sequence is expensive, performance is sensitive to inertia weight and learning-factor settings, and the search space grows unfavourably as the number of IoT devices increases. Crucially, reliability enters only as a static term in a fitness function; the scheme does not estimate the probability that any particular node will fail.</w:t>
      </w:r>
    </w:p>
    <w:p w14:paraId="3CFA6F6E">
      <w:pPr>
        <w:spacing w:before="0" w:after="60"/>
        <w:ind w:firstLine="288"/>
        <w:jc w:val="both"/>
      </w:pPr>
      <w:r>
        <w:rPr>
          <w:rFonts w:ascii="Times New Roman" w:hAnsi="Times New Roman" w:eastAsia="Times New Roman"/>
          <w:b w:val="0"/>
          <w:i w:val="0"/>
          <w:sz w:val="20"/>
        </w:rPr>
        <w:t>Gupta and Singh [5] come closest to a proactive design. Their Fault-Tolerance Aware Placement Algorithm (FTAPA) selects a primary fog node using a Dynamic Connections Load Balancer that evaluates active connections, resource availability and node health; it simultaneously pre-selects a backup node, monitors the health of the primary against a computed fault threshold, and migrates the microservice to the backup before the primary fails outright. This anticipatory migration measurably reduces service downtime relative to detection-driven recovery. The authors themselves identify the residual weaknesses: backup nodes consume memory and processing capacity even when failures never materialise, continuous health monitoring adds overhead, and the fault threshold is difficult to set - too low and migration happens too late, too high and the system migrates unnecessarily. The threshold is a point estimate of a quantity that is inherently uncertain, and no confidence is attached to it.</w:t>
      </w:r>
    </w:p>
    <w:p w14:paraId="7EB87F9A">
      <w:pPr>
        <w:spacing w:before="140" w:after="60"/>
      </w:pPr>
      <w:r>
        <w:rPr>
          <w:rFonts w:ascii="Times New Roman" w:hAnsi="Times New Roman"/>
          <w:i/>
          <w:sz w:val="20"/>
        </w:rPr>
        <w:t>C.  Bayesian Belief Networks for Reliability Prediction</w:t>
      </w:r>
    </w:p>
    <w:p w14:paraId="38B35D53">
      <w:pPr>
        <w:spacing w:before="0" w:after="60"/>
        <w:ind w:firstLine="288"/>
        <w:jc w:val="both"/>
      </w:pPr>
      <w:r>
        <w:rPr>
          <w:rFonts w:ascii="Times New Roman" w:hAnsi="Times New Roman" w:eastAsia="Times New Roman"/>
          <w:b w:val="0"/>
          <w:i w:val="0"/>
          <w:sz w:val="20"/>
        </w:rPr>
        <w:t>A Bayesian Belief Network is a directed acyclic graph whose vertices are random variables and whose edges encode direct probabilistic dependence, quantified by a conditional probability table for each vertex given its parents. The joint distribution factorises as the product of these local conditionals, which makes exact posterior inference tractable for the sparse structures that arise when causal knowledge is available. Pearl's foundational treatment [6] established both the semantics of such networks and the message-passing algorithms that make inference practical.</w:t>
      </w:r>
    </w:p>
    <w:p w14:paraId="26A7A0C9">
      <w:pPr>
        <w:spacing w:before="0" w:after="60"/>
        <w:ind w:firstLine="288"/>
        <w:jc w:val="both"/>
      </w:pPr>
      <w:r>
        <w:rPr>
          <w:rFonts w:ascii="Times New Roman" w:hAnsi="Times New Roman" w:eastAsia="Times New Roman"/>
          <w:b w:val="0"/>
          <w:i w:val="0"/>
          <w:sz w:val="20"/>
        </w:rPr>
        <w:t>The formalism has been applied extensively to reliability. Fenton, Neil and Marquez [7] use BNs to predict software defects and reliability, arguing that the ability to combine causal process factors with quantitative measures, and qualitative expert judgement with observed data, overcomes well-known limitations of classical metrics-based models; the approach has been deployed by Motorola, Siemens and Philips with reported accuracy. Weber et al. [8] survey a decade of BN applications to dependability, risk analysis and maintenance, and document a sustained growth in adoption attributable to advantages over Markov chains, fault trees and Petri nets - specifically the capacity to model complex systems with heterogeneous variables, to perform both predictive and diagnostic reasoning, and to update beliefs incrementally as evidence arrives. Aguilera et al. [9] review BNs in environmental modelling, a domain characterised, like fog telemetry, by sparse and unreliable observation, and emphasise the graceful handling of missing data. More recently, Pang and Abramov [10] analyse reliability and parameter selection for IoT communication using deep learning, confirming the importance of predictive reliability modelling for IoT while also illustrating the interpretability cost of black-box predictors - a cost that a BBN does not impose.</w:t>
      </w:r>
    </w:p>
    <w:p w14:paraId="7B417FB4">
      <w:pPr>
        <w:spacing w:before="0" w:after="60"/>
        <w:ind w:firstLine="288"/>
        <w:jc w:val="both"/>
      </w:pPr>
      <w:r>
        <w:rPr>
          <w:rFonts w:ascii="Times New Roman" w:hAnsi="Times New Roman" w:eastAsia="Times New Roman"/>
          <w:b w:val="0"/>
          <w:i w:val="0"/>
          <w:sz w:val="20"/>
        </w:rPr>
        <w:t>Two properties make BBNs particularly appropriate for fog node health. First, inference is well-defined under partial evidence: unobserved variables are marginalised out, so a prediction is still produced when a telemetry channel is unavailable, which is precisely the condition likely to coincide with impending failure. Second, the network is diagnostic as well as predictive: having inferred a high failure probability, the same model identifies which parent variables are most responsible, yielding an explanation that an operator can act on and that a threshold comparison cannot provide.</w:t>
      </w:r>
    </w:p>
    <w:p w14:paraId="209F65A1">
      <w:pPr>
        <w:spacing w:before="140" w:after="60"/>
      </w:pPr>
      <w:r>
        <w:rPr>
          <w:rFonts w:ascii="Times New Roman" w:hAnsi="Times New Roman"/>
          <w:i/>
          <w:sz w:val="20"/>
        </w:rPr>
        <w:t>D.  Comparative Analysis</w:t>
      </w:r>
    </w:p>
    <w:p w14:paraId="0D679736">
      <w:pPr>
        <w:spacing w:before="160" w:after="60"/>
        <w:jc w:val="center"/>
      </w:pPr>
      <w:r>
        <w:rPr>
          <w:rFonts w:ascii="Times New Roman" w:hAnsi="Times New Roman"/>
          <w:smallCaps/>
          <w:sz w:val="16"/>
        </w:rPr>
        <w:t>TABLE I. COMPARATIVE ANALYSIS OF FAULT-TOLERANCE MECHANISMS IN FOG COMPUTING</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7"/>
        <w:gridCol w:w="1368"/>
        <w:gridCol w:w="1037"/>
        <w:gridCol w:w="1872"/>
      </w:tblGrid>
      <w:tr w14:paraId="6FFFBED3">
        <w:trPr>
          <w:jc w:val="center"/>
        </w:trPr>
        <w:tc>
          <w:tcPr>
            <w:tcW w:w="547" w:type="dxa"/>
          </w:tcPr>
          <w:p w14:paraId="462AFB0B">
            <w:pPr>
              <w:spacing w:before="20" w:after="20"/>
              <w:jc w:val="center"/>
            </w:pPr>
            <w:r>
              <w:rPr>
                <w:rFonts w:ascii="Times New Roman" w:hAnsi="Times New Roman"/>
                <w:b/>
                <w:sz w:val="15"/>
              </w:rPr>
              <w:t>Ref.</w:t>
            </w:r>
          </w:p>
        </w:tc>
        <w:tc>
          <w:tcPr>
            <w:tcW w:w="1368" w:type="dxa"/>
          </w:tcPr>
          <w:p w14:paraId="5D6AE99E">
            <w:pPr>
              <w:spacing w:before="20" w:after="20"/>
              <w:jc w:val="center"/>
            </w:pPr>
            <w:r>
              <w:rPr>
                <w:rFonts w:ascii="Times New Roman" w:hAnsi="Times New Roman"/>
                <w:b/>
                <w:sz w:val="15"/>
              </w:rPr>
              <w:t>Technique</w:t>
            </w:r>
          </w:p>
        </w:tc>
        <w:tc>
          <w:tcPr>
            <w:tcW w:w="1037" w:type="dxa"/>
          </w:tcPr>
          <w:p w14:paraId="10129F67">
            <w:pPr>
              <w:spacing w:before="20" w:after="20"/>
              <w:jc w:val="center"/>
            </w:pPr>
            <w:r>
              <w:rPr>
                <w:rFonts w:ascii="Times New Roman" w:hAnsi="Times New Roman"/>
                <w:b/>
                <w:sz w:val="15"/>
              </w:rPr>
              <w:t>Nature</w:t>
            </w:r>
          </w:p>
        </w:tc>
        <w:tc>
          <w:tcPr>
            <w:tcW w:w="1872" w:type="dxa"/>
          </w:tcPr>
          <w:p w14:paraId="63C21A38">
            <w:pPr>
              <w:spacing w:before="20" w:after="20"/>
              <w:jc w:val="center"/>
            </w:pPr>
            <w:r>
              <w:rPr>
                <w:rFonts w:ascii="Times New Roman" w:hAnsi="Times New Roman"/>
                <w:b/>
                <w:sz w:val="15"/>
              </w:rPr>
              <w:t>Key Limitation</w:t>
            </w:r>
          </w:p>
        </w:tc>
      </w:tr>
      <w:tr w14:paraId="4D5266CC">
        <w:trPr>
          <w:jc w:val="center"/>
        </w:trPr>
        <w:tc>
          <w:tcPr>
            <w:tcW w:w="547" w:type="dxa"/>
          </w:tcPr>
          <w:p w14:paraId="1E571DD4">
            <w:pPr>
              <w:spacing w:before="20" w:after="20"/>
              <w:jc w:val="left"/>
            </w:pPr>
            <w:r>
              <w:rPr>
                <w:rFonts w:ascii="Times New Roman" w:hAnsi="Times New Roman"/>
                <w:sz w:val="15"/>
              </w:rPr>
              <w:t>[1]</w:t>
            </w:r>
          </w:p>
        </w:tc>
        <w:tc>
          <w:tcPr>
            <w:tcW w:w="1368" w:type="dxa"/>
          </w:tcPr>
          <w:p w14:paraId="34B3B1EA">
            <w:pPr>
              <w:spacing w:before="20" w:after="20"/>
              <w:jc w:val="left"/>
            </w:pPr>
            <w:r>
              <w:rPr>
                <w:rFonts w:ascii="Times New Roman" w:hAnsi="Times New Roman"/>
                <w:sz w:val="15"/>
              </w:rPr>
              <w:t>DWRR scheduling + dynamic checkpointing + primary-backup replication</w:t>
            </w:r>
          </w:p>
        </w:tc>
        <w:tc>
          <w:tcPr>
            <w:tcW w:w="1037" w:type="dxa"/>
          </w:tcPr>
          <w:p w14:paraId="3354AB95">
            <w:pPr>
              <w:spacing w:before="20" w:after="20"/>
              <w:jc w:val="left"/>
            </w:pPr>
            <w:r>
              <w:rPr>
                <w:rFonts w:ascii="Times New Roman" w:hAnsi="Times New Roman"/>
                <w:sz w:val="15"/>
              </w:rPr>
              <w:t>Reactive</w:t>
            </w:r>
          </w:p>
        </w:tc>
        <w:tc>
          <w:tcPr>
            <w:tcW w:w="1872" w:type="dxa"/>
          </w:tcPr>
          <w:p w14:paraId="57667DB7">
            <w:pPr>
              <w:spacing w:before="20" w:after="20"/>
              <w:jc w:val="left"/>
            </w:pPr>
            <w:r>
              <w:rPr>
                <w:rFonts w:ascii="Times New Roman" w:hAnsi="Times New Roman"/>
                <w:sz w:val="15"/>
              </w:rPr>
              <w:t>Fixed CPU threshold (0.2); backup storage always reserved; no failure prediction</w:t>
            </w:r>
          </w:p>
        </w:tc>
      </w:tr>
      <w:tr w14:paraId="5854449D">
        <w:trPr>
          <w:jc w:val="center"/>
        </w:trPr>
        <w:tc>
          <w:tcPr>
            <w:tcW w:w="547" w:type="dxa"/>
          </w:tcPr>
          <w:p w14:paraId="4C7E1DCC">
            <w:pPr>
              <w:spacing w:before="20" w:after="20"/>
              <w:jc w:val="left"/>
            </w:pPr>
            <w:r>
              <w:rPr>
                <w:rFonts w:ascii="Times New Roman" w:hAnsi="Times New Roman"/>
                <w:sz w:val="15"/>
              </w:rPr>
              <w:t>[2]</w:t>
            </w:r>
          </w:p>
        </w:tc>
        <w:tc>
          <w:tcPr>
            <w:tcW w:w="1368" w:type="dxa"/>
          </w:tcPr>
          <w:p w14:paraId="117EB416">
            <w:pPr>
              <w:spacing w:before="20" w:after="20"/>
              <w:jc w:val="left"/>
            </w:pPr>
            <w:r>
              <w:rPr>
                <w:rFonts w:ascii="Times New Roman" w:hAnsi="Times New Roman"/>
                <w:sz w:val="15"/>
              </w:rPr>
              <w:t>SDN priority scheduling + ACK-based retransmission</w:t>
            </w:r>
          </w:p>
        </w:tc>
        <w:tc>
          <w:tcPr>
            <w:tcW w:w="1037" w:type="dxa"/>
          </w:tcPr>
          <w:p w14:paraId="64F2DC20">
            <w:pPr>
              <w:spacing w:before="20" w:after="20"/>
              <w:jc w:val="left"/>
            </w:pPr>
            <w:r>
              <w:rPr>
                <w:rFonts w:ascii="Times New Roman" w:hAnsi="Times New Roman"/>
                <w:sz w:val="15"/>
              </w:rPr>
              <w:t>Reactive</w:t>
            </w:r>
          </w:p>
        </w:tc>
        <w:tc>
          <w:tcPr>
            <w:tcW w:w="1872" w:type="dxa"/>
          </w:tcPr>
          <w:p w14:paraId="627F9853">
            <w:pPr>
              <w:spacing w:before="20" w:after="20"/>
              <w:jc w:val="left"/>
            </w:pPr>
            <w:r>
              <w:rPr>
                <w:rFonts w:ascii="Times New Roman" w:hAnsi="Times New Roman"/>
                <w:sz w:val="15"/>
              </w:rPr>
              <w:t>Recovery limited to retransmission; extra ACK traffic; vehicular domain only</w:t>
            </w:r>
          </w:p>
        </w:tc>
      </w:tr>
      <w:tr w14:paraId="02DCE5DF">
        <w:trPr>
          <w:jc w:val="center"/>
        </w:trPr>
        <w:tc>
          <w:tcPr>
            <w:tcW w:w="547" w:type="dxa"/>
          </w:tcPr>
          <w:p w14:paraId="7B51BA5C">
            <w:pPr>
              <w:spacing w:before="20" w:after="20"/>
              <w:jc w:val="left"/>
            </w:pPr>
            <w:r>
              <w:rPr>
                <w:rFonts w:ascii="Times New Roman" w:hAnsi="Times New Roman"/>
                <w:sz w:val="15"/>
              </w:rPr>
              <w:t>[3]</w:t>
            </w:r>
          </w:p>
        </w:tc>
        <w:tc>
          <w:tcPr>
            <w:tcW w:w="1368" w:type="dxa"/>
          </w:tcPr>
          <w:p w14:paraId="3D80488C">
            <w:pPr>
              <w:spacing w:before="20" w:after="20"/>
              <w:jc w:val="left"/>
            </w:pPr>
            <w:r>
              <w:rPr>
                <w:rFonts w:ascii="Times New Roman" w:hAnsi="Times New Roman"/>
                <w:sz w:val="15"/>
              </w:rPr>
              <w:t>Fog middleware + heartbeat monitoring + replicated failover</w:t>
            </w:r>
          </w:p>
        </w:tc>
        <w:tc>
          <w:tcPr>
            <w:tcW w:w="1037" w:type="dxa"/>
          </w:tcPr>
          <w:p w14:paraId="6B35853F">
            <w:pPr>
              <w:spacing w:before="20" w:after="20"/>
              <w:jc w:val="left"/>
            </w:pPr>
            <w:r>
              <w:rPr>
                <w:rFonts w:ascii="Times New Roman" w:hAnsi="Times New Roman"/>
                <w:sz w:val="15"/>
              </w:rPr>
              <w:t>Reactive</w:t>
            </w:r>
          </w:p>
        </w:tc>
        <w:tc>
          <w:tcPr>
            <w:tcW w:w="1872" w:type="dxa"/>
          </w:tcPr>
          <w:p w14:paraId="4997CFA5">
            <w:pPr>
              <w:spacing w:before="20" w:after="20"/>
              <w:jc w:val="left"/>
            </w:pPr>
            <w:r>
              <w:rPr>
                <w:rFonts w:ascii="Times New Roman" w:hAnsi="Times New Roman"/>
                <w:sz w:val="15"/>
              </w:rPr>
              <w:t>Acts only after server stops responding; single backup; continuous heartbeat overhead</w:t>
            </w:r>
          </w:p>
        </w:tc>
      </w:tr>
      <w:tr w14:paraId="0BD48C6A">
        <w:trPr>
          <w:jc w:val="center"/>
        </w:trPr>
        <w:tc>
          <w:tcPr>
            <w:tcW w:w="547" w:type="dxa"/>
          </w:tcPr>
          <w:p w14:paraId="5E56A6C6">
            <w:pPr>
              <w:spacing w:before="20" w:after="20"/>
              <w:jc w:val="left"/>
            </w:pPr>
            <w:r>
              <w:rPr>
                <w:rFonts w:ascii="Times New Roman" w:hAnsi="Times New Roman"/>
                <w:sz w:val="15"/>
              </w:rPr>
              <w:t>[4]</w:t>
            </w:r>
          </w:p>
        </w:tc>
        <w:tc>
          <w:tcPr>
            <w:tcW w:w="1368" w:type="dxa"/>
          </w:tcPr>
          <w:p w14:paraId="3D545FA1">
            <w:pPr>
              <w:spacing w:before="20" w:after="20"/>
              <w:jc w:val="left"/>
            </w:pPr>
            <w:r>
              <w:rPr>
                <w:rFonts w:ascii="Times New Roman" w:hAnsi="Times New Roman"/>
                <w:sz w:val="15"/>
              </w:rPr>
              <w:t>QoS-EO hybrid PSO + ABC task placement</w:t>
            </w:r>
          </w:p>
        </w:tc>
        <w:tc>
          <w:tcPr>
            <w:tcW w:w="1037" w:type="dxa"/>
          </w:tcPr>
          <w:p w14:paraId="4EFED48E">
            <w:pPr>
              <w:spacing w:before="20" w:after="20"/>
              <w:jc w:val="left"/>
            </w:pPr>
            <w:r>
              <w:rPr>
                <w:rFonts w:ascii="Times New Roman" w:hAnsi="Times New Roman"/>
                <w:sz w:val="15"/>
              </w:rPr>
              <w:t>Preventive (static)</w:t>
            </w:r>
          </w:p>
        </w:tc>
        <w:tc>
          <w:tcPr>
            <w:tcW w:w="1872" w:type="dxa"/>
          </w:tcPr>
          <w:p w14:paraId="4B2460D8">
            <w:pPr>
              <w:spacing w:before="20" w:after="20"/>
              <w:jc w:val="left"/>
            </w:pPr>
            <w:r>
              <w:rPr>
                <w:rFonts w:ascii="Times New Roman" w:hAnsi="Times New Roman"/>
                <w:sz w:val="15"/>
              </w:rPr>
              <w:t>High computational cost; parameter-sensitive; reliability is a static fitness term</w:t>
            </w:r>
          </w:p>
        </w:tc>
      </w:tr>
      <w:tr w14:paraId="3328368C">
        <w:trPr>
          <w:jc w:val="center"/>
        </w:trPr>
        <w:tc>
          <w:tcPr>
            <w:tcW w:w="547" w:type="dxa"/>
          </w:tcPr>
          <w:p w14:paraId="25890718">
            <w:pPr>
              <w:spacing w:before="20" w:after="20"/>
              <w:jc w:val="left"/>
            </w:pPr>
            <w:r>
              <w:rPr>
                <w:rFonts w:ascii="Times New Roman" w:hAnsi="Times New Roman"/>
                <w:sz w:val="15"/>
              </w:rPr>
              <w:t>[5]</w:t>
            </w:r>
          </w:p>
        </w:tc>
        <w:tc>
          <w:tcPr>
            <w:tcW w:w="1368" w:type="dxa"/>
          </w:tcPr>
          <w:p w14:paraId="7B7FD76B">
            <w:pPr>
              <w:spacing w:before="20" w:after="20"/>
              <w:jc w:val="left"/>
            </w:pPr>
            <w:r>
              <w:rPr>
                <w:rFonts w:ascii="Times New Roman" w:hAnsi="Times New Roman"/>
                <w:sz w:val="15"/>
              </w:rPr>
              <w:t>FTAPA: DCLB node selection + threshold-based proactive migration</w:t>
            </w:r>
          </w:p>
        </w:tc>
        <w:tc>
          <w:tcPr>
            <w:tcW w:w="1037" w:type="dxa"/>
          </w:tcPr>
          <w:p w14:paraId="3EC7725E">
            <w:pPr>
              <w:spacing w:before="20" w:after="20"/>
              <w:jc w:val="left"/>
            </w:pPr>
            <w:r>
              <w:rPr>
                <w:rFonts w:ascii="Times New Roman" w:hAnsi="Times New Roman"/>
                <w:sz w:val="15"/>
              </w:rPr>
              <w:t>Proactive (threshold)</w:t>
            </w:r>
          </w:p>
        </w:tc>
        <w:tc>
          <w:tcPr>
            <w:tcW w:w="1872" w:type="dxa"/>
          </w:tcPr>
          <w:p w14:paraId="76087C2C">
            <w:pPr>
              <w:spacing w:before="20" w:after="20"/>
              <w:jc w:val="left"/>
            </w:pPr>
            <w:r>
              <w:rPr>
                <w:rFonts w:ascii="Times New Roman" w:hAnsi="Times New Roman"/>
                <w:sz w:val="15"/>
              </w:rPr>
              <w:t>Fault threshold hard to tune; backup reserved per microservice; monitoring overhead</w:t>
            </w:r>
          </w:p>
        </w:tc>
      </w:tr>
      <w:tr w14:paraId="2685E2E6">
        <w:trPr>
          <w:jc w:val="center"/>
        </w:trPr>
        <w:tc>
          <w:tcPr>
            <w:tcW w:w="547" w:type="dxa"/>
          </w:tcPr>
          <w:p w14:paraId="7F20145C">
            <w:pPr>
              <w:spacing w:before="20" w:after="20"/>
              <w:jc w:val="left"/>
            </w:pPr>
            <w:r>
              <w:rPr>
                <w:rFonts w:ascii="Times New Roman" w:hAnsi="Times New Roman"/>
                <w:sz w:val="15"/>
              </w:rPr>
              <w:t>This work</w:t>
            </w:r>
          </w:p>
        </w:tc>
        <w:tc>
          <w:tcPr>
            <w:tcW w:w="1368" w:type="dxa"/>
          </w:tcPr>
          <w:p w14:paraId="4DC9341F">
            <w:pPr>
              <w:spacing w:before="20" w:after="20"/>
              <w:jc w:val="left"/>
            </w:pPr>
            <w:r>
              <w:rPr>
                <w:rFonts w:ascii="Times New Roman" w:hAnsi="Times New Roman"/>
                <w:sz w:val="15"/>
              </w:rPr>
              <w:t>Causal BBN inference + expected-loss migration + criticality-aware replication</w:t>
            </w:r>
          </w:p>
        </w:tc>
        <w:tc>
          <w:tcPr>
            <w:tcW w:w="1037" w:type="dxa"/>
          </w:tcPr>
          <w:p w14:paraId="56CE7953">
            <w:pPr>
              <w:spacing w:before="20" w:after="20"/>
              <w:jc w:val="left"/>
            </w:pPr>
            <w:r>
              <w:rPr>
                <w:rFonts w:ascii="Times New Roman" w:hAnsi="Times New Roman"/>
                <w:sz w:val="15"/>
              </w:rPr>
              <w:t>Proactive (probabilistic)</w:t>
            </w:r>
          </w:p>
        </w:tc>
        <w:tc>
          <w:tcPr>
            <w:tcW w:w="1872" w:type="dxa"/>
          </w:tcPr>
          <w:p w14:paraId="25530B51">
            <w:pPr>
              <w:spacing w:before="20" w:after="20"/>
              <w:jc w:val="left"/>
            </w:pPr>
            <w:r>
              <w:rPr>
                <w:rFonts w:ascii="Times New Roman" w:hAnsi="Times New Roman"/>
                <w:sz w:val="15"/>
              </w:rPr>
              <w:t>Requires CPT elicitation and online calibration; addressed by literature priors and Bayesian parameter learning</w:t>
            </w:r>
          </w:p>
        </w:tc>
      </w:tr>
    </w:tbl>
    <w:p w14:paraId="4D6ADA03">
      <w:pPr>
        <w:spacing w:after="80"/>
      </w:pPr>
    </w:p>
    <w:p w14:paraId="0557B5A9">
      <w:pPr>
        <w:spacing w:before="140" w:after="60"/>
      </w:pPr>
      <w:r>
        <w:rPr>
          <w:rFonts w:ascii="Times New Roman" w:hAnsi="Times New Roman"/>
          <w:i/>
          <w:sz w:val="20"/>
        </w:rPr>
        <w:t>E.  Inferences Drawn from the Survey</w:t>
      </w:r>
    </w:p>
    <w:p w14:paraId="0A32789B">
      <w:pPr>
        <w:spacing w:before="0" w:after="60"/>
        <w:ind w:firstLine="288"/>
        <w:jc w:val="both"/>
      </w:pPr>
      <w:r>
        <w:rPr>
          <w:rFonts w:ascii="Times New Roman" w:hAnsi="Times New Roman" w:eastAsia="Times New Roman"/>
          <w:b w:val="0"/>
          <w:i w:val="0"/>
          <w:sz w:val="20"/>
        </w:rPr>
        <w:t>Read together rather than individually, the five systems support six inferences that shape the design proposed in this paper.</w:t>
      </w:r>
    </w:p>
    <w:p w14:paraId="563BBE03">
      <w:pPr>
        <w:pStyle w:val="29"/>
        <w:spacing w:after="60"/>
        <w:ind w:left="360"/>
        <w:jc w:val="both"/>
      </w:pPr>
      <w:r>
        <w:rPr>
          <w:rFonts w:ascii="Times New Roman" w:hAnsi="Times New Roman"/>
          <w:sz w:val="20"/>
        </w:rPr>
        <w:t>Fault tolerance in fog computing is overwhelmingly reactive. Three of the five systems act only once a fault has been detected — by a missing heartbeat [3], an unacknowledged message [2] or a threshold breach during execution [1] — so the recovery latency is incurred at precisely the moment the application can least absorb it.</w:t>
      </w:r>
    </w:p>
    <w:p w14:paraId="5A14EE9A">
      <w:pPr>
        <w:pStyle w:val="29"/>
        <w:spacing w:after="60"/>
        <w:ind w:left="360"/>
        <w:jc w:val="both"/>
      </w:pPr>
      <w:r>
        <w:rPr>
          <w:rFonts w:ascii="Times New Roman" w:hAnsi="Times New Roman"/>
          <w:sz w:val="20"/>
        </w:rPr>
        <w:t>Acting before failure demonstrably helps. FTAPA [5] reports measurably reduced service downtime from migrating a microservice ahead of a predicted failure. The principle is sound, and this paper builds on it rather than disputing it.</w:t>
      </w:r>
    </w:p>
    <w:p w14:paraId="65F055FE">
      <w:pPr>
        <w:pStyle w:val="29"/>
        <w:spacing w:after="60"/>
        <w:ind w:left="360"/>
        <w:jc w:val="both"/>
      </w:pPr>
      <w:r>
        <w:rPr>
          <w:rFonts w:ascii="Times New Roman" w:hAnsi="Times New Roman"/>
          <w:sz w:val="20"/>
        </w:rPr>
        <w:t>Where prediction is attempted it is deterministic and single-metric. Both [1] and [5] reduce the decision to a comparison of one scalar against a preset threshold, and the authors of both report the difficulty of choosing that threshold as an open limitation.</w:t>
      </w:r>
    </w:p>
    <w:p w14:paraId="6E2C9A5E">
      <w:pPr>
        <w:pStyle w:val="29"/>
        <w:spacing w:after="60"/>
        <w:ind w:left="360"/>
        <w:jc w:val="both"/>
      </w:pPr>
      <w:r>
        <w:rPr>
          <w:rFonts w:ascii="Times New Roman" w:hAnsi="Times New Roman"/>
          <w:sz w:val="20"/>
        </w:rPr>
        <w:t>Node health is treated as directly observable. No surveyed system represents it as a latent condition that must be inferred from indicators which are noisy, mutually dependent and sometimes absent — despite the fact that a telemetry channel is most likely to fall silent exactly when the node hosting it is degrading.</w:t>
      </w:r>
    </w:p>
    <w:p w14:paraId="1CD9C0EF">
      <w:pPr>
        <w:pStyle w:val="29"/>
        <w:spacing w:after="60"/>
        <w:ind w:left="360"/>
        <w:jc w:val="both"/>
      </w:pPr>
      <w:r>
        <w:rPr>
          <w:rFonts w:ascii="Times New Roman" w:hAnsi="Times New Roman"/>
          <w:sz w:val="20"/>
        </w:rPr>
        <w:t>Redundancy is provisioned uniformly rather than by risk. A backup is reserved per task [1], per server [3] or per microservice [5], consuming standby capacity irrespective of whether a failure is likely; the authors of [5] identify this as a standing cost of their own design.</w:t>
      </w:r>
    </w:p>
    <w:p w14:paraId="71DD4EC6">
      <w:pPr>
        <w:pStyle w:val="29"/>
        <w:spacing w:after="60"/>
        <w:ind w:left="360"/>
        <w:jc w:val="both"/>
      </w:pPr>
      <w:r>
        <w:rPr>
          <w:rFonts w:ascii="Times New Roman" w:hAnsi="Times New Roman"/>
          <w:sz w:val="20"/>
        </w:rPr>
        <w:t>Reliability enters optimisation only as a static term. QoS-EO [4] scores reliability within a fitness function but never estimates the probability that a particular node will fail within a particular interval, so its reliability term cannot respond to changing conditions.</w:t>
      </w:r>
    </w:p>
    <w:p w14:paraId="6335F9B4">
      <w:pPr>
        <w:spacing w:before="0" w:after="60"/>
        <w:ind w:firstLine="288"/>
        <w:jc w:val="both"/>
      </w:pPr>
      <w:r>
        <w:rPr>
          <w:rFonts w:ascii="Times New Roman" w:hAnsi="Times New Roman" w:eastAsia="Times New Roman"/>
          <w:b w:val="0"/>
          <w:i w:val="0"/>
          <w:sz w:val="20"/>
        </w:rPr>
        <w:t>Taken together, these inferences point to a single conclusion: what the field lacks is a probabilistic and explainable estimate of imminent node failure, together with a decision rule that spends migration and redundancy in proportion to that estimate.</w:t>
      </w:r>
    </w:p>
    <w:p w14:paraId="71031272">
      <w:pPr>
        <w:spacing w:before="140" w:after="60"/>
      </w:pPr>
      <w:r>
        <w:rPr>
          <w:rFonts w:ascii="Times New Roman" w:hAnsi="Times New Roman"/>
          <w:i/>
          <w:sz w:val="20"/>
        </w:rPr>
        <w:t>F.  Selection of the Modelling Approach</w:t>
      </w:r>
    </w:p>
    <w:p w14:paraId="14BCF775">
      <w:pPr>
        <w:spacing w:before="0" w:after="60"/>
        <w:ind w:firstLine="288"/>
        <w:jc w:val="both"/>
      </w:pPr>
      <w:r>
        <w:rPr>
          <w:rFonts w:ascii="Times New Roman" w:hAnsi="Times New Roman" w:eastAsia="Times New Roman"/>
          <w:b w:val="0"/>
          <w:i w:val="0"/>
          <w:sz w:val="20"/>
        </w:rPr>
        <w:t>Several established formalisms could in principle supply such an estimate, and the choice among them was made against four requirements imposed by the problem: the method must function without a large corpus of labelled failures, since none exists for fog topologies; it must continue to produce an estimate when part of the telemetry is unavailable; it must emit a calibrated probability, because the decision rule proposed in Section III multiplies that probability by a cost; and it must be interpretable, so that an operator can act on the reason for a prediction rather than only its magnitude. Table II summarises the candidates against these requirements.</w:t>
      </w:r>
    </w:p>
    <w:p w14:paraId="4C4C0998">
      <w:pPr>
        <w:spacing w:before="160" w:after="60"/>
        <w:jc w:val="center"/>
      </w:pPr>
      <w:r>
        <w:rPr>
          <w:rFonts w:ascii="Times New Roman" w:hAnsi="Times New Roman"/>
          <w:smallCaps/>
          <w:sz w:val="16"/>
        </w:rPr>
        <w:t>TABLE II. SELECTION OF THE MODELLING APPROACH</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037"/>
        <w:gridCol w:w="2347"/>
      </w:tblGrid>
      <w:tr w14:paraId="2B5D4842">
        <w:trPr>
          <w:jc w:val="center"/>
        </w:trPr>
        <w:tc>
          <w:tcPr>
            <w:tcW w:w="1440" w:type="dxa"/>
          </w:tcPr>
          <w:p w14:paraId="5AA00424">
            <w:pPr>
              <w:spacing w:before="20" w:after="20"/>
              <w:jc w:val="center"/>
            </w:pPr>
            <w:r>
              <w:rPr>
                <w:rFonts w:ascii="Times New Roman" w:hAnsi="Times New Roman"/>
                <w:b/>
                <w:sz w:val="15"/>
              </w:rPr>
              <w:t>Candidate approach</w:t>
            </w:r>
          </w:p>
        </w:tc>
        <w:tc>
          <w:tcPr>
            <w:tcW w:w="1037" w:type="dxa"/>
          </w:tcPr>
          <w:p w14:paraId="328ABC8D">
            <w:pPr>
              <w:spacing w:before="20" w:after="20"/>
              <w:jc w:val="center"/>
            </w:pPr>
            <w:r>
              <w:rPr>
                <w:rFonts w:ascii="Times New Roman" w:hAnsi="Times New Roman"/>
                <w:b/>
                <w:sz w:val="15"/>
              </w:rPr>
              <w:t>Meets requirements?</w:t>
            </w:r>
          </w:p>
        </w:tc>
        <w:tc>
          <w:tcPr>
            <w:tcW w:w="2347" w:type="dxa"/>
          </w:tcPr>
          <w:p w14:paraId="787FF55C">
            <w:pPr>
              <w:spacing w:before="20" w:after="20"/>
              <w:jc w:val="center"/>
            </w:pPr>
            <w:r>
              <w:rPr>
                <w:rFonts w:ascii="Times New Roman" w:hAnsi="Times New Roman"/>
                <w:b/>
                <w:sz w:val="15"/>
              </w:rPr>
              <w:t>Principal reason</w:t>
            </w:r>
          </w:p>
        </w:tc>
      </w:tr>
      <w:tr w14:paraId="07A3D71E">
        <w:trPr>
          <w:jc w:val="center"/>
        </w:trPr>
        <w:tc>
          <w:tcPr>
            <w:tcW w:w="1440" w:type="dxa"/>
          </w:tcPr>
          <w:p w14:paraId="602CA7BF">
            <w:pPr>
              <w:spacing w:before="20" w:after="20"/>
              <w:jc w:val="left"/>
            </w:pPr>
            <w:r>
              <w:rPr>
                <w:rFonts w:ascii="Times New Roman" w:hAnsi="Times New Roman"/>
                <w:sz w:val="15"/>
              </w:rPr>
              <w:t>Fixed threshold rules</w:t>
            </w:r>
          </w:p>
        </w:tc>
        <w:tc>
          <w:tcPr>
            <w:tcW w:w="1037" w:type="dxa"/>
          </w:tcPr>
          <w:p w14:paraId="21765EEA">
            <w:pPr>
              <w:spacing w:before="20" w:after="20"/>
              <w:jc w:val="left"/>
            </w:pPr>
            <w:r>
              <w:rPr>
                <w:rFonts w:ascii="Times New Roman" w:hAnsi="Times New Roman"/>
                <w:sz w:val="15"/>
              </w:rPr>
              <w:t>No</w:t>
            </w:r>
          </w:p>
        </w:tc>
        <w:tc>
          <w:tcPr>
            <w:tcW w:w="2347" w:type="dxa"/>
          </w:tcPr>
          <w:p w14:paraId="3E6EEE30">
            <w:pPr>
              <w:spacing w:before="20" w:after="20"/>
              <w:jc w:val="left"/>
            </w:pPr>
            <w:r>
              <w:rPr>
                <w:rFonts w:ascii="Times New Roman" w:hAnsi="Times New Roman"/>
                <w:sz w:val="15"/>
              </w:rPr>
              <w:t>Single metric; no uncertainty; silent under missing telemetry; threshold hard to tune</w:t>
            </w:r>
          </w:p>
        </w:tc>
      </w:tr>
      <w:tr w14:paraId="0850D461">
        <w:trPr>
          <w:jc w:val="center"/>
        </w:trPr>
        <w:tc>
          <w:tcPr>
            <w:tcW w:w="1440" w:type="dxa"/>
          </w:tcPr>
          <w:p w14:paraId="240DED5A">
            <w:pPr>
              <w:spacing w:before="20" w:after="20"/>
              <w:jc w:val="left"/>
            </w:pPr>
            <w:r>
              <w:rPr>
                <w:rFonts w:ascii="Times New Roman" w:hAnsi="Times New Roman"/>
                <w:sz w:val="15"/>
              </w:rPr>
              <w:t>Metaheuristics (PSO, ABC, GA)</w:t>
            </w:r>
          </w:p>
        </w:tc>
        <w:tc>
          <w:tcPr>
            <w:tcW w:w="1037" w:type="dxa"/>
          </w:tcPr>
          <w:p w14:paraId="464419E3">
            <w:pPr>
              <w:spacing w:before="20" w:after="20"/>
              <w:jc w:val="left"/>
            </w:pPr>
            <w:r>
              <w:rPr>
                <w:rFonts w:ascii="Times New Roman" w:hAnsi="Times New Roman"/>
                <w:sz w:val="15"/>
              </w:rPr>
              <w:t>No</w:t>
            </w:r>
          </w:p>
        </w:tc>
        <w:tc>
          <w:tcPr>
            <w:tcW w:w="2347" w:type="dxa"/>
          </w:tcPr>
          <w:p w14:paraId="48F0C0A7">
            <w:pPr>
              <w:spacing w:before="20" w:after="20"/>
              <w:jc w:val="left"/>
            </w:pPr>
            <w:r>
              <w:rPr>
                <w:rFonts w:ascii="Times New Roman" w:hAnsi="Times New Roman"/>
                <w:sz w:val="15"/>
              </w:rPr>
              <w:t>Optimises assignment but never estimates node failure; costly and parameter-sensitive</w:t>
            </w:r>
          </w:p>
        </w:tc>
      </w:tr>
      <w:tr w14:paraId="7E9ABB4C">
        <w:trPr>
          <w:jc w:val="center"/>
        </w:trPr>
        <w:tc>
          <w:tcPr>
            <w:tcW w:w="1440" w:type="dxa"/>
          </w:tcPr>
          <w:p w14:paraId="05AF9151">
            <w:pPr>
              <w:spacing w:before="20" w:after="20"/>
              <w:jc w:val="left"/>
            </w:pPr>
            <w:r>
              <w:rPr>
                <w:rFonts w:ascii="Times New Roman" w:hAnsi="Times New Roman"/>
                <w:sz w:val="15"/>
              </w:rPr>
              <w:t>Markov chains / fault trees</w:t>
            </w:r>
          </w:p>
        </w:tc>
        <w:tc>
          <w:tcPr>
            <w:tcW w:w="1037" w:type="dxa"/>
          </w:tcPr>
          <w:p w14:paraId="3E4290B0">
            <w:pPr>
              <w:spacing w:before="20" w:after="20"/>
              <w:jc w:val="left"/>
            </w:pPr>
            <w:r>
              <w:rPr>
                <w:rFonts w:ascii="Times New Roman" w:hAnsi="Times New Roman"/>
                <w:sz w:val="15"/>
              </w:rPr>
              <w:t>Partly</w:t>
            </w:r>
          </w:p>
        </w:tc>
        <w:tc>
          <w:tcPr>
            <w:tcW w:w="2347" w:type="dxa"/>
          </w:tcPr>
          <w:p w14:paraId="527B8EE5">
            <w:pPr>
              <w:spacing w:before="20" w:after="20"/>
              <w:jc w:val="left"/>
            </w:pPr>
            <w:r>
              <w:rPr>
                <w:rFonts w:ascii="Times New Roman" w:hAnsi="Times New Roman"/>
                <w:sz w:val="15"/>
              </w:rPr>
              <w:t>State-space explosion; poor with partial evidence; static structure</w:t>
            </w:r>
          </w:p>
        </w:tc>
      </w:tr>
      <w:tr w14:paraId="55B8C766">
        <w:trPr>
          <w:jc w:val="center"/>
        </w:trPr>
        <w:tc>
          <w:tcPr>
            <w:tcW w:w="1440" w:type="dxa"/>
          </w:tcPr>
          <w:p w14:paraId="6740AFBF">
            <w:pPr>
              <w:spacing w:before="20" w:after="20"/>
              <w:jc w:val="left"/>
            </w:pPr>
            <w:r>
              <w:rPr>
                <w:rFonts w:ascii="Times New Roman" w:hAnsi="Times New Roman"/>
                <w:sz w:val="15"/>
              </w:rPr>
              <w:t>ML classifiers / deep learning</w:t>
            </w:r>
          </w:p>
        </w:tc>
        <w:tc>
          <w:tcPr>
            <w:tcW w:w="1037" w:type="dxa"/>
          </w:tcPr>
          <w:p w14:paraId="0E7D4F0C">
            <w:pPr>
              <w:spacing w:before="20" w:after="20"/>
              <w:jc w:val="left"/>
            </w:pPr>
            <w:r>
              <w:rPr>
                <w:rFonts w:ascii="Times New Roman" w:hAnsi="Times New Roman"/>
                <w:sz w:val="15"/>
              </w:rPr>
              <w:t>Partly</w:t>
            </w:r>
          </w:p>
        </w:tc>
        <w:tc>
          <w:tcPr>
            <w:tcW w:w="2347" w:type="dxa"/>
          </w:tcPr>
          <w:p w14:paraId="03FBE5A8">
            <w:pPr>
              <w:spacing w:before="20" w:after="20"/>
              <w:jc w:val="left"/>
            </w:pPr>
            <w:r>
              <w:rPr>
                <w:rFonts w:ascii="Times New Roman" w:hAnsi="Times New Roman"/>
                <w:sz w:val="15"/>
              </w:rPr>
              <w:t>Needs a large labelled failure corpus; miscalibrated outputs; requires imputation; opaque</w:t>
            </w:r>
          </w:p>
        </w:tc>
      </w:tr>
      <w:tr w14:paraId="08889225">
        <w:trPr>
          <w:jc w:val="center"/>
        </w:trPr>
        <w:tc>
          <w:tcPr>
            <w:tcW w:w="1440" w:type="dxa"/>
          </w:tcPr>
          <w:p w14:paraId="162CCE14">
            <w:pPr>
              <w:spacing w:before="20" w:after="20"/>
              <w:jc w:val="left"/>
            </w:pPr>
            <w:r>
              <w:rPr>
                <w:rFonts w:ascii="Times New Roman" w:hAnsi="Times New Roman"/>
                <w:sz w:val="15"/>
              </w:rPr>
              <w:t>Bayesian Belief Network</w:t>
            </w:r>
          </w:p>
        </w:tc>
        <w:tc>
          <w:tcPr>
            <w:tcW w:w="1037" w:type="dxa"/>
          </w:tcPr>
          <w:p w14:paraId="5685DAEA">
            <w:pPr>
              <w:spacing w:before="20" w:after="20"/>
              <w:jc w:val="left"/>
            </w:pPr>
            <w:r>
              <w:rPr>
                <w:rFonts w:ascii="Times New Roman" w:hAnsi="Times New Roman"/>
                <w:sz w:val="15"/>
              </w:rPr>
              <w:t>Yes</w:t>
            </w:r>
          </w:p>
        </w:tc>
        <w:tc>
          <w:tcPr>
            <w:tcW w:w="2347" w:type="dxa"/>
          </w:tcPr>
          <w:p w14:paraId="2C026272">
            <w:pPr>
              <w:spacing w:before="20" w:after="20"/>
              <w:jc w:val="left"/>
            </w:pPr>
            <w:r>
              <w:rPr>
                <w:rFonts w:ascii="Times New Roman" w:hAnsi="Times New Roman"/>
                <w:sz w:val="15"/>
              </w:rPr>
              <w:t>Priors usable without data; marginalises missing evidence; calibrated posterior; causally explainable</w:t>
            </w:r>
          </w:p>
        </w:tc>
      </w:tr>
    </w:tbl>
    <w:p w14:paraId="68B277D4">
      <w:pPr>
        <w:spacing w:after="80"/>
      </w:pPr>
    </w:p>
    <w:p w14:paraId="71C3B4CE">
      <w:pPr>
        <w:spacing w:before="0" w:after="60"/>
        <w:ind w:firstLine="288"/>
        <w:jc w:val="both"/>
      </w:pPr>
      <w:r>
        <w:rPr>
          <w:rFonts w:ascii="Times New Roman" w:hAnsi="Times New Roman" w:eastAsia="Times New Roman"/>
          <w:b w:val="0"/>
          <w:i w:val="0"/>
          <w:sz w:val="20"/>
        </w:rPr>
        <w:t>Fixed threshold rules fail the first three requirements outright. Metaheuristic placement optimises an assignment but never estimates failure at all. Markov chains and fault trees, the classical instruments of reliability analysis, suffer state-space explosion on systems of this size and accommodate partial evidence poorly — precisely the comparison Weber et al. [8] draw in concluding that Bayesian networks have displaced them across dependability and maintenance applications. Discriminative machine learning, including the deep-learning approach that Pang and Abramov [10] apply to IoT reliability, achieves high accuracy where abundant labelled data exists, but requires an input value in every feature slot and so must impute the very channels whose absence is diagnostic; its confidence scores are also well known to be poorly calibrated, which matters when the output is to be multiplied by a cost.</w:t>
      </w:r>
    </w:p>
    <w:p w14:paraId="2939C98B">
      <w:pPr>
        <w:spacing w:before="0" w:after="60"/>
        <w:ind w:firstLine="288"/>
        <w:jc w:val="both"/>
      </w:pPr>
      <w:r>
        <w:rPr>
          <w:rFonts w:ascii="Times New Roman" w:hAnsi="Times New Roman" w:eastAsia="Times New Roman"/>
          <w:b w:val="0"/>
          <w:i w:val="0"/>
          <w:sz w:val="20"/>
        </w:rPr>
        <w:t>A Bayesian Belief Network satisfies all four requirements simultaneously. Its conditional probability tables can be initialised from expert judgement and published reliability priors and then refined from observation, so it is usable from the first epoch. Inference marginalises over unobserved variables, so partial telemetry degrades the sharpness of the posterior without preventing a decision. The output is a probability in the formal sense, suitable for composition with a loss function. And because the graph encodes causal structure, the same inference that produces the posterior also identifies the parent configuration most responsible for it. This combination, rather than any single property, is why the Bayesian Belief Network was selected.</w:t>
      </w:r>
    </w:p>
    <w:p w14:paraId="4949763E">
      <w:pPr>
        <w:spacing w:before="140" w:after="60"/>
      </w:pPr>
      <w:r>
        <w:rPr>
          <w:rFonts w:ascii="Times New Roman" w:hAnsi="Times New Roman"/>
          <w:i/>
          <w:sz w:val="20"/>
        </w:rPr>
        <w:t>G.  Research Gap</w:t>
      </w:r>
    </w:p>
    <w:p w14:paraId="4902885B">
      <w:pPr>
        <w:spacing w:before="0" w:after="60"/>
        <w:ind w:firstLine="288"/>
        <w:jc w:val="both"/>
      </w:pPr>
      <w:r>
        <w:rPr>
          <w:rFonts w:ascii="Times New Roman" w:hAnsi="Times New Roman" w:eastAsia="Times New Roman"/>
          <w:b w:val="0"/>
          <w:i w:val="0"/>
          <w:sz w:val="20"/>
        </w:rPr>
        <w:t>Table I makes the gap explicit. Every surveyed fault-tolerance mechanism either reacts to a fault that has already occurred, or anticipates it using a deterministic comparison against a fixed threshold on a small number of directly observed metrics. None represents node health as a latent variable, none quantifies the uncertainty of its own prediction, none continues to reason when telemetry is incomplete, and none uses a predicted failure probability to modulate how much redundancy a given module deserves. Conversely, the BBN literature provides a mature apparatus for probabilistic reliability inference under uncertainty, but has not been applied to the fog placement problem. This paper addresses that intersection.</w:t>
      </w:r>
    </w:p>
    <w:p w14:paraId="60FBE1D1">
      <w:pPr>
        <w:spacing w:before="220" w:after="80"/>
        <w:jc w:val="center"/>
      </w:pPr>
      <w:r>
        <w:rPr>
          <w:rFonts w:ascii="Times New Roman" w:hAnsi="Times New Roman"/>
          <w:smallCaps/>
          <w:sz w:val="20"/>
        </w:rPr>
        <w:t>III.  Proposed Methodology</w:t>
      </w:r>
    </w:p>
    <w:p w14:paraId="112779E7">
      <w:pPr>
        <w:spacing w:before="140" w:after="60"/>
      </w:pPr>
      <w:r>
        <w:rPr>
          <w:rFonts w:ascii="Times New Roman" w:hAnsi="Times New Roman"/>
          <w:i/>
          <w:sz w:val="20"/>
        </w:rPr>
        <w:t>A.  System Architecture</w:t>
      </w:r>
    </w:p>
    <w:p w14:paraId="31EB921D">
      <w:pPr>
        <w:spacing w:before="0" w:after="60"/>
        <w:ind w:firstLine="288"/>
        <w:jc w:val="both"/>
      </w:pPr>
      <w:r>
        <w:rPr>
          <w:rFonts w:ascii="Times New Roman" w:hAnsi="Times New Roman" w:eastAsia="Times New Roman"/>
          <w:b w:val="0"/>
          <w:i w:val="0"/>
          <w:sz w:val="20"/>
        </w:rPr>
        <w:t>Fig. 1 presents the proposed framework. It preserves the conventional three-tier fog topology - an IoT and end-device layer, a fog layer and a cloud layer - and introduces a Proactive Fault-Tolerance Controller that is co-located with the Fog Orchestration Node at the proxy tier of the hierarchy, where it has visibility of an entire cluster of fog nodes without incurring the round-trip delay of a cloud-hosted controller.</w:t>
      </w:r>
    </w:p>
    <w:p w14:paraId="69AC3061">
      <w:pPr>
        <w:spacing w:before="120" w:after="60"/>
        <w:jc w:val="center"/>
      </w:pPr>
      <w:r>
        <w:drawing>
          <wp:inline distT="0" distB="0" distL="114300" distR="114300">
            <wp:extent cx="3017520" cy="4434205"/>
            <wp:effectExtent l="0" t="0" r="508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17520" cy="4434466"/>
                    </a:xfrm>
                    <a:prstGeom prst="rect">
                      <a:avLst/>
                    </a:prstGeom>
                  </pic:spPr>
                </pic:pic>
              </a:graphicData>
            </a:graphic>
          </wp:inline>
        </w:drawing>
      </w:r>
    </w:p>
    <w:p w14:paraId="4DDC6A77">
      <w:pPr>
        <w:spacing w:after="160"/>
        <w:jc w:val="both"/>
      </w:pPr>
      <w:r>
        <w:rPr>
          <w:rFonts w:ascii="Times New Roman" w:hAnsi="Times New Roman"/>
          <w:b/>
          <w:sz w:val="16"/>
        </w:rPr>
        <w:t xml:space="preserve">Fig. 1.  </w:t>
      </w:r>
      <w:r>
        <w:rPr>
          <w:rFonts w:ascii="Times New Roman" w:hAnsi="Times New Roman"/>
          <w:sz w:val="16"/>
        </w:rPr>
        <w:t>Block diagram of the proposed BBN-driven proactive fault-tolerance framework. Telemetry from the fog layer is discretised and supplied as evidence to the BBN inference engine (N1); the resulting posterior drives risk-aware placement and expected-loss migration (N2) and criticality-aware selective replication (N3). Observed outcomes are fed back for online conditional-probability-table adaptation.</w:t>
      </w:r>
    </w:p>
    <w:p w14:paraId="247C99EE">
      <w:pPr>
        <w:spacing w:before="0" w:after="60"/>
        <w:ind w:firstLine="288"/>
        <w:jc w:val="both"/>
      </w:pPr>
      <w:r>
        <w:rPr>
          <w:rFonts w:ascii="Times New Roman" w:hAnsi="Times New Roman" w:eastAsia="Times New Roman"/>
          <w:b w:val="0"/>
          <w:i w:val="0"/>
          <w:sz w:val="20"/>
        </w:rPr>
        <w:t>At the lowest layer, sensors and end devices - electrocardiogram and electroencephalogram sensors, surveillance cameras and mobile user equipment - emit tuples that are consumed by application modules placed on fog nodes. Every fog node hosts a lightweight telemetry agent that periodically reports the observable indicators of node condition. The controller consumes this telemetry through four stages. A pre-processing and discretisation stage cleans, aligns and bins the continuous measurements into the ordinal states over which the network is defined. The BBN inference engine then computes, for each node, the posterior probability of failure within the look-ahead horizon. The risk-aware placement and migration module converts those posteriors into placement and migration decisions, and the criticality-aware replication module decides how much standby capacity each placed module should be granted. Decisions are actuated back onto the fog nodes as module placements, live migrations and replica allocations, while modules that no fog node can safely host are offloaded to the cloud. Observed outcomes - whether a node predicted to fail actually failed - are fed back to update the conditional probability tables, and the updated tables are synchronised with a cloud-hosted repository so that knowledge learned in one cluster benefits others.</w:t>
      </w:r>
    </w:p>
    <w:p w14:paraId="320990D7">
      <w:pPr>
        <w:spacing w:before="140" w:after="60"/>
      </w:pPr>
      <w:r>
        <w:rPr>
          <w:rFonts w:ascii="Times New Roman" w:hAnsi="Times New Roman"/>
          <w:i/>
          <w:sz w:val="20"/>
        </w:rPr>
        <w:t>B.  Novelty 1: BBN-Based Failure Prediction Engine</w:t>
      </w:r>
    </w:p>
    <w:p w14:paraId="502C54A6">
      <w:pPr>
        <w:spacing w:before="0" w:after="60"/>
        <w:ind w:firstLine="288"/>
        <w:jc w:val="both"/>
      </w:pPr>
      <w:r>
        <w:rPr>
          <w:rFonts w:ascii="Times New Roman" w:hAnsi="Times New Roman" w:eastAsia="Times New Roman"/>
          <w:b w:val="0"/>
          <w:i w:val="0"/>
          <w:sz w:val="20"/>
        </w:rPr>
        <w:t>The core of the framework is a Bayesian Belief Network over fog-node condition. The network is organised in three tiers. Observable evidence variables correspond directly to telemetry: CPU utilisation, RAM utilisation, tuple queue depth, uplink latency, jitter and packet loss, residual energy or battery level, ambient or die temperature where a sensor is available, and the handover rate induced by user mobility. Intermediate latent variables aggregate these into interpretable conditions - computational stress, network degradation, energy stress and thermal stress. A single target variable, the failure of the node within the horizon, is the child of the intermediate tier, additionally conditioned on a node-reliability prior derived from the device class and its historical mean time between failures.</w:t>
      </w:r>
    </w:p>
    <w:p w14:paraId="614F4E26">
      <w:pPr>
        <w:spacing w:before="0" w:after="60"/>
        <w:ind w:firstLine="288"/>
        <w:jc w:val="both"/>
      </w:pPr>
      <w:r>
        <w:rPr>
          <w:rFonts w:ascii="Times New Roman" w:hAnsi="Times New Roman" w:eastAsia="Times New Roman"/>
          <w:b w:val="0"/>
          <w:i w:val="0"/>
          <w:sz w:val="20"/>
        </w:rPr>
        <w:t>Each variable is discretised into a small ordinal state space, typically {low, medium, high}, so that conditional probability tables remain compact and interpretable. Given the set of evidence actually observed at a decision epoch, the engine computes the posterior</w:t>
      </w:r>
    </w:p>
    <w:p w14:paraId="2753AC36">
      <w:pPr>
        <w:spacing w:before="100" w:after="100"/>
        <w:ind w:firstLine="0"/>
        <w:jc w:val="center"/>
      </w:pPr>
      <w:r>
        <w:rPr>
          <w:rFonts w:ascii="Times New Roman" w:hAnsi="Times New Roman" w:eastAsia="Times New Roman"/>
          <w:b w:val="0"/>
          <w:i/>
          <w:sz w:val="20"/>
        </w:rPr>
        <w:t>P(F = fail | e) = Σ P(F = fail | pa(F)) · Π P(V | pa(V), e) / P(e)</w:t>
      </w:r>
    </w:p>
    <w:p w14:paraId="1DA0DD74">
      <w:pPr>
        <w:spacing w:before="0" w:after="60"/>
        <w:ind w:firstLine="288"/>
        <w:jc w:val="both"/>
      </w:pPr>
      <w:r>
        <w:rPr>
          <w:rFonts w:ascii="Times New Roman" w:hAnsi="Times New Roman" w:eastAsia="Times New Roman"/>
          <w:b w:val="0"/>
          <w:i w:val="0"/>
          <w:sz w:val="20"/>
        </w:rPr>
        <w:t>by exact inference over the network, marginalising over any evidence variable that is unavailable. This is the property that distinguishes the approach from a threshold rule and from a discriminative classifier: a missing telemetry channel degrades the sharpness of the posterior but does not prevent a decision from being made, whereas a threshold on an unreported metric simply never fires.</w:t>
      </w:r>
    </w:p>
    <w:p w14:paraId="7F65B422">
      <w:pPr>
        <w:spacing w:before="0" w:after="60"/>
        <w:ind w:firstLine="288"/>
        <w:jc w:val="both"/>
      </w:pPr>
      <w:r>
        <w:rPr>
          <w:rFonts w:ascii="Times New Roman" w:hAnsi="Times New Roman" w:eastAsia="Times New Roman"/>
          <w:b w:val="0"/>
          <w:i w:val="0"/>
          <w:sz w:val="20"/>
        </w:rPr>
        <w:t>Conditional probability tables are initialised from the reliability literature [7], [8], [10] and from expert elicitation over the device classes present in the topology, since no public failure trace exists for the fog topology under study. They are subsequently refined online: each prediction is paired with the outcome eventually observed, and the relevant table entries are updated by Bayesian parameter learning with Dirichlet priors, so the model becomes progressively better calibrated to the deployment it governs. Because the network is causal rather than correlational, the posterior is accompanied by the most influential parent configuration, giving an explanation of the form "failure probability is high principally because network degradation is high given elevated jitter and packet loss" - information that supports both operator trust and the choice of remedy.</w:t>
      </w:r>
    </w:p>
    <w:p w14:paraId="15060769">
      <w:pPr>
        <w:spacing w:before="140" w:after="60"/>
      </w:pPr>
      <w:r>
        <w:rPr>
          <w:rFonts w:ascii="Times New Roman" w:hAnsi="Times New Roman"/>
          <w:i/>
          <w:sz w:val="20"/>
        </w:rPr>
        <w:t>C.  Novelty 2: Risk-Aware Placement and Expected-Loss Migration</w:t>
      </w:r>
    </w:p>
    <w:p w14:paraId="7E2196F3">
      <w:pPr>
        <w:spacing w:before="0" w:after="60"/>
        <w:ind w:firstLine="288"/>
        <w:jc w:val="both"/>
      </w:pPr>
      <w:r>
        <w:rPr>
          <w:rFonts w:ascii="Times New Roman" w:hAnsi="Times New Roman" w:eastAsia="Times New Roman"/>
          <w:b w:val="0"/>
          <w:i w:val="0"/>
          <w:sz w:val="20"/>
        </w:rPr>
        <w:t>The posterior produced by the BBN is not consumed as a binary alarm. For placement, the controller scores each candidate node n for a module m by a normalised multi-objective utility</w:t>
      </w:r>
    </w:p>
    <w:p w14:paraId="7863B657">
      <w:pPr>
        <w:spacing w:before="100" w:after="100"/>
        <w:ind w:firstLine="0"/>
        <w:jc w:val="center"/>
      </w:pPr>
      <w:r>
        <w:rPr>
          <w:rFonts w:ascii="Times New Roman" w:hAnsi="Times New Roman" w:eastAsia="Times New Roman"/>
          <w:b w:val="0"/>
          <w:i/>
          <w:sz w:val="20"/>
        </w:rPr>
        <w:t>U(m, n) = α · (1 − L̂(m, n)) + β · (1 − Ê(m, n)) + γ · (1 − P(Fₙ = fail | e))</w:t>
      </w:r>
    </w:p>
    <w:p w14:paraId="4C7795B6">
      <w:pPr>
        <w:spacing w:before="0" w:after="60"/>
        <w:ind w:firstLine="288"/>
        <w:jc w:val="both"/>
      </w:pPr>
      <w:r>
        <w:rPr>
          <w:rFonts w:ascii="Times New Roman" w:hAnsi="Times New Roman" w:eastAsia="Times New Roman"/>
          <w:b w:val="0"/>
          <w:i w:val="0"/>
          <w:sz w:val="20"/>
        </w:rPr>
        <w:t>where L̂ and Ê are the normalised predicted end-to-end latency and energy cost of hosting m on n, the third term is the reliability of n as estimated by the network, and the weights α, β and γ sum to unity and are configured per application class. A latency-critical health module is configured with a large γ, so it is steered away from nodes the network considers fragile even when they are computationally attractive; a best-effort module weights latency and energy more heavily.</w:t>
      </w:r>
    </w:p>
    <w:p w14:paraId="72FB7C1A">
      <w:pPr>
        <w:spacing w:before="0" w:after="60"/>
        <w:ind w:firstLine="288"/>
        <w:jc w:val="both"/>
      </w:pPr>
      <w:r>
        <w:rPr>
          <w:rFonts w:ascii="Times New Roman" w:hAnsi="Times New Roman" w:eastAsia="Times New Roman"/>
          <w:b w:val="0"/>
          <w:i w:val="0"/>
          <w:sz w:val="20"/>
        </w:rPr>
        <w:t>For migration, the framework replaces the fixed fault threshold of prior work with a cost-sensitive decision. Migrating a running module is not free: it consumes bandwidth, incurs a brief service interruption and may place the module on a less favourable node. Migration is therefore triggered only when the expected loss from remaining exceeds the cost of moving,</w:t>
      </w:r>
    </w:p>
    <w:p w14:paraId="02944818">
      <w:pPr>
        <w:spacing w:before="100" w:after="100"/>
        <w:ind w:firstLine="0"/>
        <w:jc w:val="center"/>
      </w:pPr>
      <w:r>
        <w:rPr>
          <w:rFonts w:ascii="Times New Roman" w:hAnsi="Times New Roman" w:eastAsia="Times New Roman"/>
          <w:b w:val="0"/>
          <w:i/>
          <w:sz w:val="20"/>
        </w:rPr>
        <w:t>P(Fₙ = fail | e) · C_fail(m) &gt; C_mig(m, n → n′)</w:t>
      </w:r>
    </w:p>
    <w:p w14:paraId="06FCB089">
      <w:pPr>
        <w:spacing w:before="0" w:after="60"/>
        <w:ind w:firstLine="288"/>
        <w:jc w:val="both"/>
      </w:pPr>
      <w:r>
        <w:rPr>
          <w:rFonts w:ascii="Times New Roman" w:hAnsi="Times New Roman" w:eastAsia="Times New Roman"/>
          <w:b w:val="0"/>
          <w:i w:val="0"/>
          <w:sz w:val="20"/>
        </w:rPr>
        <w:t>where C_fail(m) is the penalty attributable to losing module m - itself a function of the application's criticality and deadline - and C_mig is the estimated cost of relocating it to the best alternative node n′ as ranked by the utility above. The decision rule is self-calibrating: a module whose failure is cheap tolerates a high failure probability before it is moved, while a module whose failure is expensive is moved on comparatively weak evidence. This directly answers the threshold-selection difficulty acknowledged in [1] and [5], because there is no longer a single threshold to select; the effective threshold is derived per module from the cost ratio.</w:t>
      </w:r>
    </w:p>
    <w:p w14:paraId="00C06E5B">
      <w:pPr>
        <w:spacing w:before="140" w:after="60"/>
      </w:pPr>
      <w:r>
        <w:rPr>
          <w:rFonts w:ascii="Times New Roman" w:hAnsi="Times New Roman"/>
          <w:i/>
          <w:sz w:val="20"/>
        </w:rPr>
        <w:t>D.  Novelty 3: Criticality-Aware Selective Replication</w:t>
      </w:r>
    </w:p>
    <w:p w14:paraId="1765D178">
      <w:pPr>
        <w:spacing w:before="0" w:after="60"/>
        <w:ind w:firstLine="288"/>
        <w:jc w:val="both"/>
      </w:pPr>
      <w:r>
        <w:rPr>
          <w:rFonts w:ascii="Times New Roman" w:hAnsi="Times New Roman" w:eastAsia="Times New Roman"/>
          <w:b w:val="0"/>
          <w:i w:val="0"/>
          <w:sz w:val="20"/>
        </w:rPr>
        <w:t>Prior schemes provision a backup for every protected task [1], [3] or pre-select a backup node for every placed microservice [5]. The standby capacity so reserved is consumed whether or not a failure occurs, which the authors of [5] identify as a standing cost of their design. The proposed framework instead treats redundancy as a resource to be allocated where it changes the outcome. Each module is assigned a criticality weight κ(m) reflecting the consequence of its loss, and the controller computes a risk score</w:t>
      </w:r>
    </w:p>
    <w:p w14:paraId="4899B5FC">
      <w:pPr>
        <w:spacing w:before="100" w:after="100"/>
        <w:ind w:firstLine="0"/>
        <w:jc w:val="center"/>
      </w:pPr>
      <w:r>
        <w:rPr>
          <w:rFonts w:ascii="Times New Roman" w:hAnsi="Times New Roman" w:eastAsia="Times New Roman"/>
          <w:b w:val="0"/>
          <w:i/>
          <w:sz w:val="20"/>
        </w:rPr>
        <w:t>R(m) = P(Fₙ = fail | e) · κ(m)</w:t>
      </w:r>
    </w:p>
    <w:p w14:paraId="5083242F">
      <w:pPr>
        <w:spacing w:before="0" w:after="60"/>
        <w:ind w:firstLine="288"/>
        <w:jc w:val="both"/>
      </w:pPr>
      <w:r>
        <w:rPr>
          <w:rFonts w:ascii="Times New Roman" w:hAnsi="Times New Roman" w:eastAsia="Times New Roman"/>
          <w:b w:val="0"/>
          <w:i w:val="0"/>
          <w:sz w:val="20"/>
        </w:rPr>
        <w:t>Modules are then assigned to one of three redundancy tiers by their risk score. High-risk, high-criticality modules - a cardiac arrhythmia classifier on a node the network judges fragile - receive a warm standby on a pre-selected low-risk node, with state synchronised so that failover is immediate. Modules of intermediate risk receive periodic state checkpointing without a dedicated standby, so that recovery requires re-instantiation but not re-execution. Low-risk, best-effort modules receive no redundancy and are simply restarted if they fail. Because tier assignment is recomputed as posteriors change, standby capacity follows risk dynamically rather than being pinned at placement time, and the aggregate redundancy overhead is bounded by a configurable capacity budget that the controller respects when admitting modules to the highest tier.</w:t>
      </w:r>
    </w:p>
    <w:p w14:paraId="6731B1AB">
      <w:pPr>
        <w:spacing w:before="140" w:after="60"/>
      </w:pPr>
      <w:r>
        <w:rPr>
          <w:rFonts w:ascii="Times New Roman" w:hAnsi="Times New Roman"/>
          <w:i/>
          <w:sz w:val="20"/>
        </w:rPr>
        <w:t>E.  End-to-End Workflow</w:t>
      </w:r>
    </w:p>
    <w:p w14:paraId="6F8A1791">
      <w:pPr>
        <w:spacing w:before="0" w:after="60"/>
        <w:ind w:firstLine="288"/>
        <w:jc w:val="both"/>
      </w:pPr>
      <w:r>
        <w:rPr>
          <w:rFonts w:ascii="Times New Roman" w:hAnsi="Times New Roman" w:eastAsia="Times New Roman"/>
          <w:b w:val="0"/>
          <w:i w:val="0"/>
          <w:sz w:val="20"/>
        </w:rPr>
        <w:t>The framework operates as a continuous control loop over discrete decision epochs:</w:t>
      </w:r>
    </w:p>
    <w:p w14:paraId="7BC3949A">
      <w:pPr>
        <w:pStyle w:val="29"/>
        <w:spacing w:after="60"/>
        <w:ind w:left="360"/>
        <w:jc w:val="both"/>
      </w:pPr>
      <w:r>
        <w:rPr>
          <w:rFonts w:ascii="Times New Roman" w:hAnsi="Times New Roman"/>
          <w:sz w:val="20"/>
        </w:rPr>
        <w:t>Telemetry agents on every fog node report the observable indicators to the controller.</w:t>
      </w:r>
    </w:p>
    <w:p w14:paraId="0BD61496">
      <w:pPr>
        <w:pStyle w:val="29"/>
        <w:spacing w:after="60"/>
        <w:ind w:left="360"/>
        <w:jc w:val="both"/>
      </w:pPr>
      <w:r>
        <w:rPr>
          <w:rFonts w:ascii="Times New Roman" w:hAnsi="Times New Roman"/>
          <w:sz w:val="20"/>
        </w:rPr>
        <w:t>The pre-processing stage aligns, cleans and discretises the measurements into the ordinal states of the evidence variables, flagging any channel that failed to report.</w:t>
      </w:r>
    </w:p>
    <w:p w14:paraId="3D06250C">
      <w:pPr>
        <w:pStyle w:val="29"/>
        <w:spacing w:after="60"/>
        <w:ind w:left="360"/>
        <w:jc w:val="both"/>
      </w:pPr>
      <w:r>
        <w:rPr>
          <w:rFonts w:ascii="Times New Roman" w:hAnsi="Times New Roman"/>
          <w:sz w:val="20"/>
        </w:rPr>
        <w:t>The BBN inference engine computes the posterior failure probability for every node, marginalising over unobserved evidence, and records the dominant causal explanation.</w:t>
      </w:r>
    </w:p>
    <w:p w14:paraId="0CD26C26">
      <w:pPr>
        <w:pStyle w:val="29"/>
        <w:spacing w:after="60"/>
        <w:ind w:left="360"/>
        <w:jc w:val="both"/>
      </w:pPr>
      <w:r>
        <w:rPr>
          <w:rFonts w:ascii="Times New Roman" w:hAnsi="Times New Roman"/>
          <w:sz w:val="20"/>
        </w:rPr>
        <w:t>For newly arriving modules, the risk-aware placement policy ranks candidate nodes by the multi-objective utility and places each module on the highest-scoring feasible node.</w:t>
      </w:r>
    </w:p>
    <w:p w14:paraId="708A909A">
      <w:pPr>
        <w:pStyle w:val="29"/>
        <w:spacing w:after="60"/>
        <w:ind w:left="360"/>
        <w:jc w:val="both"/>
      </w:pPr>
      <w:r>
        <w:rPr>
          <w:rFonts w:ascii="Times New Roman" w:hAnsi="Times New Roman"/>
          <w:sz w:val="20"/>
        </w:rPr>
        <w:t>For running modules, the expected-loss rule is evaluated; modules for which the expected failure loss exceeds the migration cost are migrated pre-emptively to the best alternative node.</w:t>
      </w:r>
    </w:p>
    <w:p w14:paraId="31E9D6B8">
      <w:pPr>
        <w:pStyle w:val="29"/>
        <w:spacing w:after="60"/>
        <w:ind w:left="360"/>
        <w:jc w:val="both"/>
      </w:pPr>
      <w:r>
        <w:rPr>
          <w:rFonts w:ascii="Times New Roman" w:hAnsi="Times New Roman"/>
          <w:sz w:val="20"/>
        </w:rPr>
        <w:t>The replication manager recomputes risk scores, assigns modules to redundancy tiers and provisions or releases standby capacity subject to the redundancy budget.</w:t>
      </w:r>
    </w:p>
    <w:p w14:paraId="328B5490">
      <w:pPr>
        <w:pStyle w:val="29"/>
        <w:spacing w:after="60"/>
        <w:ind w:left="360"/>
        <w:jc w:val="both"/>
      </w:pPr>
      <w:r>
        <w:rPr>
          <w:rFonts w:ascii="Times New Roman" w:hAnsi="Times New Roman"/>
          <w:sz w:val="20"/>
        </w:rPr>
        <w:t>Actuated decisions are applied to the fog layer; modules that no fog node can safely host are offloaded to the cloud.</w:t>
      </w:r>
    </w:p>
    <w:p w14:paraId="2A7271B8">
      <w:pPr>
        <w:pStyle w:val="29"/>
        <w:spacing w:after="60"/>
        <w:ind w:left="360"/>
        <w:jc w:val="both"/>
      </w:pPr>
      <w:r>
        <w:rPr>
          <w:rFonts w:ascii="Times New Roman" w:hAnsi="Times New Roman"/>
          <w:sz w:val="20"/>
        </w:rPr>
        <w:t>Observed outcomes are compared against predictions, the conditional probability tables are updated by Bayesian parameter learning, and the revised tables are synchronised with the cloud repository before the next epoch begins.</w:t>
      </w:r>
    </w:p>
    <w:p w14:paraId="5B637975">
      <w:pPr>
        <w:spacing w:before="220" w:after="80"/>
        <w:jc w:val="center"/>
      </w:pPr>
      <w:r>
        <w:rPr>
          <w:rFonts w:ascii="Times New Roman" w:hAnsi="Times New Roman"/>
          <w:smallCaps/>
          <w:sz w:val="20"/>
        </w:rPr>
        <w:t>IV.  Experimental Setup and Dataset Description</w:t>
      </w:r>
    </w:p>
    <w:p w14:paraId="32486AC6">
      <w:pPr>
        <w:spacing w:before="140" w:after="60"/>
      </w:pPr>
      <w:r>
        <w:rPr>
          <w:rFonts w:ascii="Times New Roman" w:hAnsi="Times New Roman"/>
          <w:i/>
          <w:sz w:val="20"/>
        </w:rPr>
        <w:t>A.  Simulation Environment</w:t>
      </w:r>
    </w:p>
    <w:p w14:paraId="0A8D6897">
      <w:pPr>
        <w:spacing w:before="0" w:after="60"/>
        <w:ind w:firstLine="288"/>
        <w:jc w:val="both"/>
      </w:pPr>
      <w:r>
        <w:rPr>
          <w:rFonts w:ascii="Times New Roman" w:hAnsi="Times New Roman" w:eastAsia="Times New Roman"/>
          <w:b w:val="0"/>
          <w:i w:val="0"/>
          <w:sz w:val="20"/>
        </w:rPr>
        <w:t>The framework is being implemented as an extension to iFogSim2 [14], the widely used discrete-event simulator for edge and fog resource management, which builds on CloudSim and on the original iFogSim toolkit [15]. iFogSim2 is selected because it already provides the three capabilities the evaluation requires: mobility support driven by real and synthetic location traces, microservice orchestration with horizontal scaling and service discovery, and dynamic clustering of fog nodes. The proposed controller is realised as a new placement logic registered with the microservices controller, so that it can be compared against the simulator's existing placement policies under identical topologies and workloads. Because iFogSim2 does not model node failure natively, a fault-injection harness is being added that fails nodes according to configurable stochastic processes conditioned on their simulated load, energy and link state, thereby generating both the failure events to be predicted and the ground truth against which predictions are scored.</w:t>
      </w:r>
    </w:p>
    <w:p w14:paraId="375B7B7D">
      <w:pPr>
        <w:spacing w:before="140" w:after="60"/>
      </w:pPr>
      <w:r>
        <w:rPr>
          <w:rFonts w:ascii="Times New Roman" w:hAnsi="Times New Roman"/>
          <w:i/>
          <w:sz w:val="20"/>
        </w:rPr>
        <w:t>B.  Dataset Description</w:t>
      </w:r>
    </w:p>
    <w:p w14:paraId="4C15ABEA">
      <w:pPr>
        <w:spacing w:before="0" w:after="60"/>
        <w:ind w:firstLine="288"/>
        <w:jc w:val="both"/>
      </w:pPr>
      <w:r>
        <w:rPr>
          <w:rFonts w:ascii="Times New Roman" w:hAnsi="Times New Roman" w:eastAsia="Times New Roman"/>
          <w:b w:val="0"/>
          <w:i w:val="0"/>
          <w:sz w:val="20"/>
        </w:rPr>
        <w:t>Three categories of data drive the evaluation, summarised in Table III. The physical topology is taken from the Melbourne central business district edge-resource dataset distributed with iFogSim2, which enumerates 131 edge and fog resources with their geographic coordinates and parent-child relationships across a four-level hierarchy of cloud data centre, proxy server, gateway and end user. User mobility is supplied both by a real trace of 87 recorded positions and by five synthetic traces of 100 positions each, generated by the simulator's random mobility generator; mobility matters here because handover is one of the evidence variables in the network and a driver of load redistribution. Application workloads comprise three models: a cardiovascular health-monitoring application structured as a client module feeding two downstream analysis microservices, an intelligent surveillance application in which a motion detector, object detector and object tracker drive a pan-tilt-zoom actuator, and a virtual-reality gaming application in which electroencephalogram data is classified and fed to a global coordinator. A configuration file accompanying the microservice application supplies ten distinct application profiles specifying per-microservice processing requirements, inter-module network loads, per-hop latencies, throughput and budget constraints, and these parameters define the operating envelope from which the evidence variables are derived.</w:t>
      </w:r>
    </w:p>
    <w:p w14:paraId="17A40A41">
      <w:pPr>
        <w:spacing w:before="160" w:after="60"/>
        <w:jc w:val="center"/>
      </w:pPr>
      <w:r>
        <w:rPr>
          <w:rFonts w:ascii="Times New Roman" w:hAnsi="Times New Roman"/>
          <w:smallCaps/>
          <w:sz w:val="16"/>
        </w:rPr>
        <w:t>TABLE III. DATASETS AND APPLICATION MODELS USED IN THE EVALUATION</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312"/>
      </w:tblGrid>
      <w:tr w14:paraId="743095BD">
        <w:trPr>
          <w:jc w:val="center"/>
        </w:trPr>
        <w:tc>
          <w:tcPr>
            <w:tcW w:w="1512" w:type="dxa"/>
          </w:tcPr>
          <w:p w14:paraId="70B89A44">
            <w:pPr>
              <w:spacing w:before="20" w:after="20"/>
              <w:jc w:val="center"/>
            </w:pPr>
            <w:r>
              <w:rPr>
                <w:rFonts w:ascii="Times New Roman" w:hAnsi="Times New Roman"/>
                <w:b/>
                <w:sz w:val="15"/>
              </w:rPr>
              <w:t>Data Source</w:t>
            </w:r>
          </w:p>
        </w:tc>
        <w:tc>
          <w:tcPr>
            <w:tcW w:w="3312" w:type="dxa"/>
          </w:tcPr>
          <w:p w14:paraId="05DCCCFF">
            <w:pPr>
              <w:spacing w:before="20" w:after="20"/>
              <w:jc w:val="center"/>
            </w:pPr>
            <w:r>
              <w:rPr>
                <w:rFonts w:ascii="Times New Roman" w:hAnsi="Times New Roman"/>
                <w:b/>
                <w:sz w:val="15"/>
              </w:rPr>
              <w:t>Description</w:t>
            </w:r>
          </w:p>
        </w:tc>
      </w:tr>
      <w:tr w14:paraId="5D71D785">
        <w:trPr>
          <w:jc w:val="center"/>
        </w:trPr>
        <w:tc>
          <w:tcPr>
            <w:tcW w:w="1512" w:type="dxa"/>
          </w:tcPr>
          <w:p w14:paraId="7869D2DC">
            <w:pPr>
              <w:spacing w:before="20" w:after="20"/>
              <w:jc w:val="left"/>
            </w:pPr>
            <w:r>
              <w:rPr>
                <w:rFonts w:ascii="Times New Roman" w:hAnsi="Times New Roman"/>
                <w:sz w:val="15"/>
              </w:rPr>
              <w:t>edgeResources-melbCBD.csv</w:t>
            </w:r>
          </w:p>
        </w:tc>
        <w:tc>
          <w:tcPr>
            <w:tcW w:w="3312" w:type="dxa"/>
          </w:tcPr>
          <w:p w14:paraId="14CA9DF1">
            <w:pPr>
              <w:spacing w:before="20" w:after="20"/>
              <w:jc w:val="left"/>
            </w:pPr>
            <w:r>
              <w:rPr>
                <w:rFonts w:ascii="Times New Roman" w:hAnsi="Times New Roman"/>
                <w:sz w:val="15"/>
              </w:rPr>
              <w:t>131 edge/fog resources in the Melbourne CBD with latitude, longitude, block, level, parent and type; four-level hierarchy (cloud data centre, proxy, gateway, user)</w:t>
            </w:r>
          </w:p>
        </w:tc>
      </w:tr>
      <w:tr w14:paraId="3D96B6F1">
        <w:trPr>
          <w:jc w:val="center"/>
        </w:trPr>
        <w:tc>
          <w:tcPr>
            <w:tcW w:w="1512" w:type="dxa"/>
          </w:tcPr>
          <w:p w14:paraId="67A4A8B0">
            <w:pPr>
              <w:spacing w:before="20" w:after="20"/>
              <w:jc w:val="left"/>
            </w:pPr>
            <w:r>
              <w:rPr>
                <w:rFonts w:ascii="Times New Roman" w:hAnsi="Times New Roman"/>
                <w:sz w:val="15"/>
              </w:rPr>
              <w:t>usersLocation-melbCBD_1.csv</w:t>
            </w:r>
          </w:p>
        </w:tc>
        <w:tc>
          <w:tcPr>
            <w:tcW w:w="3312" w:type="dxa"/>
          </w:tcPr>
          <w:p w14:paraId="2303D380">
            <w:pPr>
              <w:spacing w:before="20" w:after="20"/>
              <w:jc w:val="left"/>
            </w:pPr>
            <w:r>
              <w:rPr>
                <w:rFonts w:ascii="Times New Roman" w:hAnsi="Times New Roman"/>
                <w:sz w:val="15"/>
              </w:rPr>
              <w:t>Real user mobility trace of 87 recorded positions</w:t>
            </w:r>
          </w:p>
        </w:tc>
      </w:tr>
      <w:tr w14:paraId="2FBA4F9C">
        <w:trPr>
          <w:jc w:val="center"/>
        </w:trPr>
        <w:tc>
          <w:tcPr>
            <w:tcW w:w="1512" w:type="dxa"/>
          </w:tcPr>
          <w:p w14:paraId="69A454B6">
            <w:pPr>
              <w:spacing w:before="20" w:after="20"/>
              <w:jc w:val="left"/>
            </w:pPr>
            <w:r>
              <w:rPr>
                <w:rFonts w:ascii="Times New Roman" w:hAnsi="Times New Roman"/>
                <w:sz w:val="15"/>
              </w:rPr>
              <w:t>random_usersLocation-melbCBD_1-5.csv</w:t>
            </w:r>
          </w:p>
        </w:tc>
        <w:tc>
          <w:tcPr>
            <w:tcW w:w="3312" w:type="dxa"/>
          </w:tcPr>
          <w:p w14:paraId="07FBA3FF">
            <w:pPr>
              <w:spacing w:before="20" w:after="20"/>
              <w:jc w:val="left"/>
            </w:pPr>
            <w:r>
              <w:rPr>
                <w:rFonts w:ascii="Times New Roman" w:hAnsi="Times New Roman"/>
                <w:sz w:val="15"/>
              </w:rPr>
              <w:t>Five synthetic mobility traces of 100 positions each, produced by the iFogSim2 random mobility generator</w:t>
            </w:r>
          </w:p>
        </w:tc>
      </w:tr>
      <w:tr w14:paraId="75B3FBFF">
        <w:trPr>
          <w:jc w:val="center"/>
        </w:trPr>
        <w:tc>
          <w:tcPr>
            <w:tcW w:w="1512" w:type="dxa"/>
          </w:tcPr>
          <w:p w14:paraId="2C9EC627">
            <w:pPr>
              <w:spacing w:before="20" w:after="20"/>
              <w:jc w:val="left"/>
            </w:pPr>
            <w:r>
              <w:rPr>
                <w:rFonts w:ascii="Times New Roman" w:hAnsi="Times New Roman"/>
                <w:sz w:val="15"/>
              </w:rPr>
              <w:t>Application models</w:t>
            </w:r>
          </w:p>
        </w:tc>
        <w:tc>
          <w:tcPr>
            <w:tcW w:w="3312" w:type="dxa"/>
          </w:tcPr>
          <w:p w14:paraId="58A362E3">
            <w:pPr>
              <w:spacing w:before="20" w:after="20"/>
              <w:jc w:val="left"/>
            </w:pPr>
            <w:r>
              <w:rPr>
                <w:rFonts w:ascii="Times New Roman" w:hAnsi="Times New Roman"/>
                <w:sz w:val="15"/>
              </w:rPr>
              <w:t>Cardiovascular health monitoring (client, mService1, mService2, mService3); intelligent surveillance (motion detector, object detector, object tracker, PTZ control); VR game (EEG, client, concentration calculator, coordinator)</w:t>
            </w:r>
          </w:p>
        </w:tc>
      </w:tr>
      <w:tr w14:paraId="669840A6">
        <w:trPr>
          <w:jc w:val="center"/>
        </w:trPr>
        <w:tc>
          <w:tcPr>
            <w:tcW w:w="1512" w:type="dxa"/>
          </w:tcPr>
          <w:p w14:paraId="63F6508F">
            <w:pPr>
              <w:spacing w:before="20" w:after="20"/>
              <w:jc w:val="left"/>
            </w:pPr>
            <w:r>
              <w:rPr>
                <w:rFonts w:ascii="Times New Roman" w:hAnsi="Times New Roman"/>
                <w:sz w:val="15"/>
              </w:rPr>
              <w:t>ApplicationConfig.json</w:t>
            </w:r>
          </w:p>
        </w:tc>
        <w:tc>
          <w:tcPr>
            <w:tcW w:w="3312" w:type="dxa"/>
          </w:tcPr>
          <w:p w14:paraId="3ECF918F">
            <w:pPr>
              <w:spacing w:before="20" w:after="20"/>
              <w:jc w:val="left"/>
            </w:pPr>
            <w:r>
              <w:rPr>
                <w:rFonts w:ascii="Times New Roman" w:hAnsi="Times New Roman"/>
                <w:sz w:val="15"/>
              </w:rPr>
              <w:t>Ten microservice application profiles specifying per-module MIPS, inter-module network load, per-hop latency, throughput and budget constraints</w:t>
            </w:r>
          </w:p>
        </w:tc>
      </w:tr>
      <w:tr w14:paraId="34B491F8">
        <w:trPr>
          <w:jc w:val="center"/>
        </w:trPr>
        <w:tc>
          <w:tcPr>
            <w:tcW w:w="1512" w:type="dxa"/>
          </w:tcPr>
          <w:p w14:paraId="62E771BF">
            <w:pPr>
              <w:spacing w:before="20" w:after="20"/>
              <w:jc w:val="left"/>
            </w:pPr>
            <w:r>
              <w:rPr>
                <w:rFonts w:ascii="Times New Roman" w:hAnsi="Times New Roman"/>
                <w:sz w:val="15"/>
              </w:rPr>
              <w:t>Injected failure events</w:t>
            </w:r>
          </w:p>
        </w:tc>
        <w:tc>
          <w:tcPr>
            <w:tcW w:w="3312" w:type="dxa"/>
          </w:tcPr>
          <w:p w14:paraId="2217C127">
            <w:pPr>
              <w:spacing w:before="20" w:after="20"/>
              <w:jc w:val="left"/>
            </w:pPr>
            <w:r>
              <w:rPr>
                <w:rFonts w:ascii="Times New Roman" w:hAnsi="Times New Roman"/>
                <w:sz w:val="15"/>
              </w:rPr>
              <w:t>Synthetic node failures generated by the fault-injection harness, conditioned on simulated load, energy and link state; provides ground truth for prediction scoring</w:t>
            </w:r>
          </w:p>
        </w:tc>
      </w:tr>
    </w:tbl>
    <w:p w14:paraId="7A28FE53">
      <w:pPr>
        <w:spacing w:after="80"/>
      </w:pPr>
    </w:p>
    <w:p w14:paraId="322D016B">
      <w:pPr>
        <w:spacing w:before="0" w:after="60"/>
        <w:ind w:firstLine="288"/>
        <w:jc w:val="both"/>
      </w:pPr>
      <w:r>
        <w:rPr>
          <w:rFonts w:ascii="Times New Roman" w:hAnsi="Times New Roman" w:eastAsia="Times New Roman"/>
          <w:b w:val="0"/>
          <w:i w:val="0"/>
          <w:sz w:val="20"/>
        </w:rPr>
        <w:t>It should be stated plainly that no public failure-trace dataset exists for a fog topology of this kind. Failure events are therefore synthesised by the injection harness described above, and the conditional probability tables are seeded from priors reported in the reliability literature [7], [8], [10] before being adapted online. Validating the framework against a real fog failure trace, should one become available, is identified as future work.</w:t>
      </w:r>
    </w:p>
    <w:p w14:paraId="24EF18D0">
      <w:pPr>
        <w:spacing w:before="140" w:after="60"/>
      </w:pPr>
      <w:r>
        <w:rPr>
          <w:rFonts w:ascii="Times New Roman" w:hAnsi="Times New Roman"/>
          <w:i/>
          <w:sz w:val="20"/>
        </w:rPr>
        <w:t>C.  Device Instantiation and Parameterisation</w:t>
      </w:r>
    </w:p>
    <w:p w14:paraId="56B9BBE8">
      <w:pPr>
        <w:spacing w:before="0" w:after="60"/>
        <w:ind w:firstLine="288"/>
        <w:jc w:val="both"/>
      </w:pPr>
      <w:r>
        <w:rPr>
          <w:rFonts w:ascii="Times New Roman" w:hAnsi="Times New Roman" w:eastAsia="Times New Roman"/>
          <w:b w:val="0"/>
          <w:i w:val="0"/>
          <w:sz w:val="20"/>
        </w:rPr>
        <w:t>Because the credibility of any reliability study rests on how the environment is parameterised, the construction of the physical topology is described explicitly. Every node is instantiated by a common factory routine that assembles, in order: a single processing element rated in MIPS under an overbooking provisioner; a power-aware host combining a simple RAM provisioner, an overbooking bandwidth provisioner, one megabyte-scale storage allocation and a stream-operator scheduler, together with a linear power model; a characteristics record fixing architecture, operating system, hypervisor and the cost coefficients from which the execution-cost metric is computed; and finally the fog device itself, with its scheduling interval, uplink and downlink bandwidth and cost rate per MIPS. The device is then assigned its level, its parent and its uplink latency, which is what attaches it to the hierarchy. The power model is linear in utilisation, so that the instantaneous draw of a node is its idle power plus the utilisation-weighted difference between its busy and idle figures; energy is the integral of this quantity over the simulated run.</w:t>
      </w:r>
    </w:p>
    <w:p w14:paraId="0C61ADEB">
      <w:pPr>
        <w:spacing w:before="160" w:after="60"/>
        <w:jc w:val="center"/>
      </w:pPr>
      <w:r>
        <w:rPr>
          <w:rFonts w:ascii="Times New Roman" w:hAnsi="Times New Roman"/>
          <w:smallCaps/>
          <w:sz w:val="16"/>
        </w:rPr>
        <w:t>TABLE IV. PER-TIER DEVICE PARAMETERS USED IN THE SIMULATED TOPOLOGY</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8"/>
        <w:gridCol w:w="596"/>
        <w:gridCol w:w="596"/>
        <w:gridCol w:w="596"/>
        <w:gridCol w:w="596"/>
        <w:gridCol w:w="676"/>
        <w:gridCol w:w="676"/>
      </w:tblGrid>
      <w:tr w14:paraId="4A0E9C65">
        <w:trPr>
          <w:jc w:val="center"/>
        </w:trPr>
        <w:tc>
          <w:tcPr>
            <w:tcW w:w="1088" w:type="dxa"/>
          </w:tcPr>
          <w:p w14:paraId="0D80FFB4">
            <w:pPr>
              <w:spacing w:before="20" w:after="20"/>
              <w:jc w:val="center"/>
            </w:pPr>
            <w:r>
              <w:rPr>
                <w:rFonts w:ascii="Times New Roman" w:hAnsi="Times New Roman"/>
                <w:b/>
                <w:sz w:val="15"/>
              </w:rPr>
              <w:t>Tier (level)</w:t>
            </w:r>
          </w:p>
        </w:tc>
        <w:tc>
          <w:tcPr>
            <w:tcW w:w="596" w:type="dxa"/>
          </w:tcPr>
          <w:p w14:paraId="7AD37EBA">
            <w:pPr>
              <w:spacing w:before="20" w:after="20"/>
              <w:jc w:val="center"/>
            </w:pPr>
            <w:r>
              <w:rPr>
                <w:rFonts w:ascii="Times New Roman" w:hAnsi="Times New Roman"/>
                <w:b/>
                <w:sz w:val="15"/>
              </w:rPr>
              <w:t>MIPS</w:t>
            </w:r>
          </w:p>
        </w:tc>
        <w:tc>
          <w:tcPr>
            <w:tcW w:w="596" w:type="dxa"/>
          </w:tcPr>
          <w:p w14:paraId="724456DE">
            <w:pPr>
              <w:spacing w:before="20" w:after="20"/>
              <w:jc w:val="center"/>
            </w:pPr>
            <w:r>
              <w:rPr>
                <w:rFonts w:ascii="Times New Roman" w:hAnsi="Times New Roman"/>
                <w:b/>
                <w:sz w:val="15"/>
              </w:rPr>
              <w:t>RAM (MB)</w:t>
            </w:r>
          </w:p>
        </w:tc>
        <w:tc>
          <w:tcPr>
            <w:tcW w:w="596" w:type="dxa"/>
          </w:tcPr>
          <w:p w14:paraId="08412327">
            <w:pPr>
              <w:spacing w:before="20" w:after="20"/>
              <w:jc w:val="center"/>
            </w:pPr>
            <w:r>
              <w:rPr>
                <w:rFonts w:ascii="Times New Roman" w:hAnsi="Times New Roman"/>
                <w:b/>
                <w:sz w:val="15"/>
              </w:rPr>
              <w:t>Up BW</w:t>
            </w:r>
          </w:p>
        </w:tc>
        <w:tc>
          <w:tcPr>
            <w:tcW w:w="596" w:type="dxa"/>
          </w:tcPr>
          <w:p w14:paraId="50822D3B">
            <w:pPr>
              <w:spacing w:before="20" w:after="20"/>
              <w:jc w:val="center"/>
            </w:pPr>
            <w:r>
              <w:rPr>
                <w:rFonts w:ascii="Times New Roman" w:hAnsi="Times New Roman"/>
                <w:b/>
                <w:sz w:val="15"/>
              </w:rPr>
              <w:t>Down BW</w:t>
            </w:r>
          </w:p>
        </w:tc>
        <w:tc>
          <w:tcPr>
            <w:tcW w:w="676" w:type="dxa"/>
          </w:tcPr>
          <w:p w14:paraId="0376E839">
            <w:pPr>
              <w:spacing w:before="20" w:after="20"/>
              <w:jc w:val="center"/>
            </w:pPr>
            <w:r>
              <w:rPr>
                <w:rFonts w:ascii="Times New Roman" w:hAnsi="Times New Roman"/>
                <w:b/>
                <w:sz w:val="15"/>
              </w:rPr>
              <w:t>Busy (W)</w:t>
            </w:r>
          </w:p>
        </w:tc>
        <w:tc>
          <w:tcPr>
            <w:tcW w:w="676" w:type="dxa"/>
          </w:tcPr>
          <w:p w14:paraId="01FA3608">
            <w:pPr>
              <w:spacing w:before="20" w:after="20"/>
              <w:jc w:val="center"/>
            </w:pPr>
            <w:r>
              <w:rPr>
                <w:rFonts w:ascii="Times New Roman" w:hAnsi="Times New Roman"/>
                <w:b/>
                <w:sz w:val="15"/>
              </w:rPr>
              <w:t>Idle (W)</w:t>
            </w:r>
          </w:p>
        </w:tc>
      </w:tr>
      <w:tr w14:paraId="73776848">
        <w:trPr>
          <w:jc w:val="center"/>
        </w:trPr>
        <w:tc>
          <w:tcPr>
            <w:tcW w:w="1088" w:type="dxa"/>
          </w:tcPr>
          <w:p w14:paraId="63EC75BA">
            <w:pPr>
              <w:spacing w:before="20" w:after="20"/>
              <w:jc w:val="left"/>
            </w:pPr>
            <w:r>
              <w:rPr>
                <w:rFonts w:ascii="Times New Roman" w:hAnsi="Times New Roman"/>
                <w:sz w:val="15"/>
              </w:rPr>
              <w:t>Cloud (0)</w:t>
            </w:r>
          </w:p>
        </w:tc>
        <w:tc>
          <w:tcPr>
            <w:tcW w:w="596" w:type="dxa"/>
          </w:tcPr>
          <w:p w14:paraId="2527B39B">
            <w:pPr>
              <w:spacing w:before="20" w:after="20"/>
              <w:jc w:val="left"/>
            </w:pPr>
            <w:r>
              <w:rPr>
                <w:rFonts w:ascii="Times New Roman" w:hAnsi="Times New Roman"/>
                <w:sz w:val="15"/>
              </w:rPr>
              <w:t>44800</w:t>
            </w:r>
          </w:p>
        </w:tc>
        <w:tc>
          <w:tcPr>
            <w:tcW w:w="596" w:type="dxa"/>
          </w:tcPr>
          <w:p w14:paraId="74EC2D52">
            <w:pPr>
              <w:spacing w:before="20" w:after="20"/>
              <w:jc w:val="left"/>
            </w:pPr>
            <w:r>
              <w:rPr>
                <w:rFonts w:ascii="Times New Roman" w:hAnsi="Times New Roman"/>
                <w:sz w:val="15"/>
              </w:rPr>
              <w:t>40000</w:t>
            </w:r>
          </w:p>
        </w:tc>
        <w:tc>
          <w:tcPr>
            <w:tcW w:w="596" w:type="dxa"/>
          </w:tcPr>
          <w:p w14:paraId="0E126C69">
            <w:pPr>
              <w:spacing w:before="20" w:after="20"/>
              <w:jc w:val="left"/>
            </w:pPr>
            <w:r>
              <w:rPr>
                <w:rFonts w:ascii="Times New Roman" w:hAnsi="Times New Roman"/>
                <w:sz w:val="15"/>
              </w:rPr>
              <w:t>100</w:t>
            </w:r>
          </w:p>
        </w:tc>
        <w:tc>
          <w:tcPr>
            <w:tcW w:w="596" w:type="dxa"/>
          </w:tcPr>
          <w:p w14:paraId="4EE71C12">
            <w:pPr>
              <w:spacing w:before="20" w:after="20"/>
              <w:jc w:val="left"/>
            </w:pPr>
            <w:r>
              <w:rPr>
                <w:rFonts w:ascii="Times New Roman" w:hAnsi="Times New Roman"/>
                <w:sz w:val="15"/>
              </w:rPr>
              <w:t>10000</w:t>
            </w:r>
          </w:p>
        </w:tc>
        <w:tc>
          <w:tcPr>
            <w:tcW w:w="676" w:type="dxa"/>
          </w:tcPr>
          <w:p w14:paraId="4DF12363">
            <w:pPr>
              <w:spacing w:before="20" w:after="20"/>
              <w:jc w:val="left"/>
            </w:pPr>
            <w:r>
              <w:rPr>
                <w:rFonts w:ascii="Times New Roman" w:hAnsi="Times New Roman"/>
                <w:sz w:val="15"/>
              </w:rPr>
              <w:t>1648</w:t>
            </w:r>
          </w:p>
        </w:tc>
        <w:tc>
          <w:tcPr>
            <w:tcW w:w="676" w:type="dxa"/>
          </w:tcPr>
          <w:p w14:paraId="71CACD57">
            <w:pPr>
              <w:spacing w:before="20" w:after="20"/>
              <w:jc w:val="left"/>
            </w:pPr>
            <w:r>
              <w:rPr>
                <w:rFonts w:ascii="Times New Roman" w:hAnsi="Times New Roman"/>
                <w:sz w:val="15"/>
              </w:rPr>
              <w:t>1332</w:t>
            </w:r>
          </w:p>
        </w:tc>
      </w:tr>
      <w:tr w14:paraId="512B515E">
        <w:trPr>
          <w:jc w:val="center"/>
        </w:trPr>
        <w:tc>
          <w:tcPr>
            <w:tcW w:w="1088" w:type="dxa"/>
          </w:tcPr>
          <w:p w14:paraId="60A40EB2">
            <w:pPr>
              <w:spacing w:before="20" w:after="20"/>
              <w:jc w:val="left"/>
            </w:pPr>
            <w:r>
              <w:rPr>
                <w:rFonts w:ascii="Times New Roman" w:hAnsi="Times New Roman"/>
                <w:sz w:val="15"/>
              </w:rPr>
              <w:t>Proxy server (1)</w:t>
            </w:r>
          </w:p>
        </w:tc>
        <w:tc>
          <w:tcPr>
            <w:tcW w:w="596" w:type="dxa"/>
          </w:tcPr>
          <w:p w14:paraId="046A3DDD">
            <w:pPr>
              <w:spacing w:before="20" w:after="20"/>
              <w:jc w:val="left"/>
            </w:pPr>
            <w:r>
              <w:rPr>
                <w:rFonts w:ascii="Times New Roman" w:hAnsi="Times New Roman"/>
                <w:sz w:val="15"/>
              </w:rPr>
              <w:t>2800</w:t>
            </w:r>
          </w:p>
        </w:tc>
        <w:tc>
          <w:tcPr>
            <w:tcW w:w="596" w:type="dxa"/>
          </w:tcPr>
          <w:p w14:paraId="738613B9">
            <w:pPr>
              <w:spacing w:before="20" w:after="20"/>
              <w:jc w:val="left"/>
            </w:pPr>
            <w:r>
              <w:rPr>
                <w:rFonts w:ascii="Times New Roman" w:hAnsi="Times New Roman"/>
                <w:sz w:val="15"/>
              </w:rPr>
              <w:t>4000</w:t>
            </w:r>
          </w:p>
        </w:tc>
        <w:tc>
          <w:tcPr>
            <w:tcW w:w="596" w:type="dxa"/>
          </w:tcPr>
          <w:p w14:paraId="0411A724">
            <w:pPr>
              <w:spacing w:before="20" w:after="20"/>
              <w:jc w:val="left"/>
            </w:pPr>
            <w:r>
              <w:rPr>
                <w:rFonts w:ascii="Times New Roman" w:hAnsi="Times New Roman"/>
                <w:sz w:val="15"/>
              </w:rPr>
              <w:t>10000</w:t>
            </w:r>
          </w:p>
        </w:tc>
        <w:tc>
          <w:tcPr>
            <w:tcW w:w="596" w:type="dxa"/>
          </w:tcPr>
          <w:p w14:paraId="3F9DADD5">
            <w:pPr>
              <w:spacing w:before="20" w:after="20"/>
              <w:jc w:val="left"/>
            </w:pPr>
            <w:r>
              <w:rPr>
                <w:rFonts w:ascii="Times New Roman" w:hAnsi="Times New Roman"/>
                <w:sz w:val="15"/>
              </w:rPr>
              <w:t>10000</w:t>
            </w:r>
          </w:p>
        </w:tc>
        <w:tc>
          <w:tcPr>
            <w:tcW w:w="676" w:type="dxa"/>
          </w:tcPr>
          <w:p w14:paraId="12E84888">
            <w:pPr>
              <w:spacing w:before="20" w:after="20"/>
              <w:jc w:val="left"/>
            </w:pPr>
            <w:r>
              <w:rPr>
                <w:rFonts w:ascii="Times New Roman" w:hAnsi="Times New Roman"/>
                <w:sz w:val="15"/>
              </w:rPr>
              <w:t>107.34</w:t>
            </w:r>
          </w:p>
        </w:tc>
        <w:tc>
          <w:tcPr>
            <w:tcW w:w="676" w:type="dxa"/>
          </w:tcPr>
          <w:p w14:paraId="7336C1AD">
            <w:pPr>
              <w:spacing w:before="20" w:after="20"/>
              <w:jc w:val="left"/>
            </w:pPr>
            <w:r>
              <w:rPr>
                <w:rFonts w:ascii="Times New Roman" w:hAnsi="Times New Roman"/>
                <w:sz w:val="15"/>
              </w:rPr>
              <w:t>83.43</w:t>
            </w:r>
          </w:p>
        </w:tc>
      </w:tr>
      <w:tr w14:paraId="72D7E9B4">
        <w:trPr>
          <w:jc w:val="center"/>
        </w:trPr>
        <w:tc>
          <w:tcPr>
            <w:tcW w:w="1088" w:type="dxa"/>
          </w:tcPr>
          <w:p w14:paraId="38BBD93B">
            <w:pPr>
              <w:spacing w:before="20" w:after="20"/>
              <w:jc w:val="left"/>
            </w:pPr>
            <w:r>
              <w:rPr>
                <w:rFonts w:ascii="Times New Roman" w:hAnsi="Times New Roman"/>
                <w:sz w:val="15"/>
              </w:rPr>
              <w:t>Gateway / router (2)</w:t>
            </w:r>
          </w:p>
        </w:tc>
        <w:tc>
          <w:tcPr>
            <w:tcW w:w="596" w:type="dxa"/>
          </w:tcPr>
          <w:p w14:paraId="3B49190A">
            <w:pPr>
              <w:spacing w:before="20" w:after="20"/>
              <w:jc w:val="left"/>
            </w:pPr>
            <w:r>
              <w:rPr>
                <w:rFonts w:ascii="Times New Roman" w:hAnsi="Times New Roman"/>
                <w:sz w:val="15"/>
              </w:rPr>
              <w:t>2800</w:t>
            </w:r>
          </w:p>
        </w:tc>
        <w:tc>
          <w:tcPr>
            <w:tcW w:w="596" w:type="dxa"/>
          </w:tcPr>
          <w:p w14:paraId="610FAC9B">
            <w:pPr>
              <w:spacing w:before="20" w:after="20"/>
              <w:jc w:val="left"/>
            </w:pPr>
            <w:r>
              <w:rPr>
                <w:rFonts w:ascii="Times New Roman" w:hAnsi="Times New Roman"/>
                <w:sz w:val="15"/>
              </w:rPr>
              <w:t>4000</w:t>
            </w:r>
          </w:p>
        </w:tc>
        <w:tc>
          <w:tcPr>
            <w:tcW w:w="596" w:type="dxa"/>
          </w:tcPr>
          <w:p w14:paraId="443CF4F1">
            <w:pPr>
              <w:spacing w:before="20" w:after="20"/>
              <w:jc w:val="left"/>
            </w:pPr>
            <w:r>
              <w:rPr>
                <w:rFonts w:ascii="Times New Roman" w:hAnsi="Times New Roman"/>
                <w:sz w:val="15"/>
              </w:rPr>
              <w:t>10000</w:t>
            </w:r>
          </w:p>
        </w:tc>
        <w:tc>
          <w:tcPr>
            <w:tcW w:w="596" w:type="dxa"/>
          </w:tcPr>
          <w:p w14:paraId="2AC3485E">
            <w:pPr>
              <w:spacing w:before="20" w:after="20"/>
              <w:jc w:val="left"/>
            </w:pPr>
            <w:r>
              <w:rPr>
                <w:rFonts w:ascii="Times New Roman" w:hAnsi="Times New Roman"/>
                <w:sz w:val="15"/>
              </w:rPr>
              <w:t>10000</w:t>
            </w:r>
          </w:p>
        </w:tc>
        <w:tc>
          <w:tcPr>
            <w:tcW w:w="676" w:type="dxa"/>
          </w:tcPr>
          <w:p w14:paraId="745869A9">
            <w:pPr>
              <w:spacing w:before="20" w:after="20"/>
              <w:jc w:val="left"/>
            </w:pPr>
            <w:r>
              <w:rPr>
                <w:rFonts w:ascii="Times New Roman" w:hAnsi="Times New Roman"/>
                <w:sz w:val="15"/>
              </w:rPr>
              <w:t>107.34</w:t>
            </w:r>
          </w:p>
        </w:tc>
        <w:tc>
          <w:tcPr>
            <w:tcW w:w="676" w:type="dxa"/>
          </w:tcPr>
          <w:p w14:paraId="07D464F2">
            <w:pPr>
              <w:spacing w:before="20" w:after="20"/>
              <w:jc w:val="left"/>
            </w:pPr>
            <w:r>
              <w:rPr>
                <w:rFonts w:ascii="Times New Roman" w:hAnsi="Times New Roman"/>
                <w:sz w:val="15"/>
              </w:rPr>
              <w:t>83.43</w:t>
            </w:r>
          </w:p>
        </w:tc>
      </w:tr>
      <w:tr w14:paraId="39ACD3D3">
        <w:trPr>
          <w:jc w:val="center"/>
        </w:trPr>
        <w:tc>
          <w:tcPr>
            <w:tcW w:w="1088" w:type="dxa"/>
          </w:tcPr>
          <w:p w14:paraId="2DF3D6F6">
            <w:pPr>
              <w:spacing w:before="20" w:after="20"/>
              <w:jc w:val="left"/>
            </w:pPr>
            <w:r>
              <w:rPr>
                <w:rFonts w:ascii="Times New Roman" w:hAnsi="Times New Roman"/>
                <w:sz w:val="15"/>
              </w:rPr>
              <w:t>Mobile — VR game (3)</w:t>
            </w:r>
          </w:p>
        </w:tc>
        <w:tc>
          <w:tcPr>
            <w:tcW w:w="596" w:type="dxa"/>
          </w:tcPr>
          <w:p w14:paraId="792D294C">
            <w:pPr>
              <w:spacing w:before="20" w:after="20"/>
              <w:jc w:val="left"/>
            </w:pPr>
            <w:r>
              <w:rPr>
                <w:rFonts w:ascii="Times New Roman" w:hAnsi="Times New Roman"/>
                <w:sz w:val="15"/>
              </w:rPr>
              <w:t>1000</w:t>
            </w:r>
          </w:p>
        </w:tc>
        <w:tc>
          <w:tcPr>
            <w:tcW w:w="596" w:type="dxa"/>
          </w:tcPr>
          <w:p w14:paraId="3253A916">
            <w:pPr>
              <w:spacing w:before="20" w:after="20"/>
              <w:jc w:val="left"/>
            </w:pPr>
            <w:r>
              <w:rPr>
                <w:rFonts w:ascii="Times New Roman" w:hAnsi="Times New Roman"/>
                <w:sz w:val="15"/>
              </w:rPr>
              <w:t>1000</w:t>
            </w:r>
          </w:p>
        </w:tc>
        <w:tc>
          <w:tcPr>
            <w:tcW w:w="596" w:type="dxa"/>
          </w:tcPr>
          <w:p w14:paraId="51D7B4FE">
            <w:pPr>
              <w:spacing w:before="20" w:after="20"/>
              <w:jc w:val="left"/>
            </w:pPr>
            <w:r>
              <w:rPr>
                <w:rFonts w:ascii="Times New Roman" w:hAnsi="Times New Roman"/>
                <w:sz w:val="15"/>
              </w:rPr>
              <w:t>10000</w:t>
            </w:r>
          </w:p>
        </w:tc>
        <w:tc>
          <w:tcPr>
            <w:tcW w:w="596" w:type="dxa"/>
          </w:tcPr>
          <w:p w14:paraId="06C6D962">
            <w:pPr>
              <w:spacing w:before="20" w:after="20"/>
              <w:jc w:val="left"/>
            </w:pPr>
            <w:r>
              <w:rPr>
                <w:rFonts w:ascii="Times New Roman" w:hAnsi="Times New Roman"/>
                <w:sz w:val="15"/>
              </w:rPr>
              <w:t>270</w:t>
            </w:r>
          </w:p>
        </w:tc>
        <w:tc>
          <w:tcPr>
            <w:tcW w:w="676" w:type="dxa"/>
          </w:tcPr>
          <w:p w14:paraId="46DA8393">
            <w:pPr>
              <w:spacing w:before="20" w:after="20"/>
              <w:jc w:val="left"/>
            </w:pPr>
            <w:r>
              <w:rPr>
                <w:rFonts w:ascii="Times New Roman" w:hAnsi="Times New Roman"/>
                <w:sz w:val="15"/>
              </w:rPr>
              <w:t>87.53</w:t>
            </w:r>
          </w:p>
        </w:tc>
        <w:tc>
          <w:tcPr>
            <w:tcW w:w="676" w:type="dxa"/>
          </w:tcPr>
          <w:p w14:paraId="78D29EEF">
            <w:pPr>
              <w:spacing w:before="20" w:after="20"/>
              <w:jc w:val="left"/>
            </w:pPr>
            <w:r>
              <w:rPr>
                <w:rFonts w:ascii="Times New Roman" w:hAnsi="Times New Roman"/>
                <w:sz w:val="15"/>
              </w:rPr>
              <w:t>82.44</w:t>
            </w:r>
          </w:p>
        </w:tc>
      </w:tr>
      <w:tr w14:paraId="44F9D79E">
        <w:trPr>
          <w:jc w:val="center"/>
        </w:trPr>
        <w:tc>
          <w:tcPr>
            <w:tcW w:w="1088" w:type="dxa"/>
          </w:tcPr>
          <w:p w14:paraId="34752C97">
            <w:pPr>
              <w:spacing w:before="20" w:after="20"/>
              <w:jc w:val="left"/>
            </w:pPr>
            <w:r>
              <w:rPr>
                <w:rFonts w:ascii="Times New Roman" w:hAnsi="Times New Roman"/>
                <w:sz w:val="15"/>
              </w:rPr>
              <w:t>Camera — surveillance (3)</w:t>
            </w:r>
          </w:p>
        </w:tc>
        <w:tc>
          <w:tcPr>
            <w:tcW w:w="596" w:type="dxa"/>
          </w:tcPr>
          <w:p w14:paraId="398469B9">
            <w:pPr>
              <w:spacing w:before="20" w:after="20"/>
              <w:jc w:val="left"/>
            </w:pPr>
            <w:r>
              <w:rPr>
                <w:rFonts w:ascii="Times New Roman" w:hAnsi="Times New Roman"/>
                <w:sz w:val="15"/>
              </w:rPr>
              <w:t>500</w:t>
            </w:r>
          </w:p>
        </w:tc>
        <w:tc>
          <w:tcPr>
            <w:tcW w:w="596" w:type="dxa"/>
          </w:tcPr>
          <w:p w14:paraId="52141613">
            <w:pPr>
              <w:spacing w:before="20" w:after="20"/>
              <w:jc w:val="left"/>
            </w:pPr>
            <w:r>
              <w:rPr>
                <w:rFonts w:ascii="Times New Roman" w:hAnsi="Times New Roman"/>
                <w:sz w:val="15"/>
              </w:rPr>
              <w:t>1000</w:t>
            </w:r>
          </w:p>
        </w:tc>
        <w:tc>
          <w:tcPr>
            <w:tcW w:w="596" w:type="dxa"/>
          </w:tcPr>
          <w:p w14:paraId="21C88215">
            <w:pPr>
              <w:spacing w:before="20" w:after="20"/>
              <w:jc w:val="left"/>
            </w:pPr>
            <w:r>
              <w:rPr>
                <w:rFonts w:ascii="Times New Roman" w:hAnsi="Times New Roman"/>
                <w:sz w:val="15"/>
              </w:rPr>
              <w:t>10000</w:t>
            </w:r>
          </w:p>
        </w:tc>
        <w:tc>
          <w:tcPr>
            <w:tcW w:w="596" w:type="dxa"/>
          </w:tcPr>
          <w:p w14:paraId="0B26F75F">
            <w:pPr>
              <w:spacing w:before="20" w:after="20"/>
              <w:jc w:val="left"/>
            </w:pPr>
            <w:r>
              <w:rPr>
                <w:rFonts w:ascii="Times New Roman" w:hAnsi="Times New Roman"/>
                <w:sz w:val="15"/>
              </w:rPr>
              <w:t>10000</w:t>
            </w:r>
          </w:p>
        </w:tc>
        <w:tc>
          <w:tcPr>
            <w:tcW w:w="676" w:type="dxa"/>
          </w:tcPr>
          <w:p w14:paraId="2DDB65A3">
            <w:pPr>
              <w:spacing w:before="20" w:after="20"/>
              <w:jc w:val="left"/>
            </w:pPr>
            <w:r>
              <w:rPr>
                <w:rFonts w:ascii="Times New Roman" w:hAnsi="Times New Roman"/>
                <w:sz w:val="15"/>
              </w:rPr>
              <w:t>87.53</w:t>
            </w:r>
          </w:p>
        </w:tc>
        <w:tc>
          <w:tcPr>
            <w:tcW w:w="676" w:type="dxa"/>
          </w:tcPr>
          <w:p w14:paraId="25973F89">
            <w:pPr>
              <w:spacing w:before="20" w:after="20"/>
              <w:jc w:val="left"/>
            </w:pPr>
            <w:r>
              <w:rPr>
                <w:rFonts w:ascii="Times New Roman" w:hAnsi="Times New Roman"/>
                <w:sz w:val="15"/>
              </w:rPr>
              <w:t>82.44</w:t>
            </w:r>
          </w:p>
        </w:tc>
      </w:tr>
      <w:tr w14:paraId="59FE80F8">
        <w:trPr>
          <w:jc w:val="center"/>
        </w:trPr>
        <w:tc>
          <w:tcPr>
            <w:tcW w:w="1088" w:type="dxa"/>
          </w:tcPr>
          <w:p w14:paraId="4761B454">
            <w:pPr>
              <w:spacing w:before="20" w:after="20"/>
              <w:jc w:val="left"/>
            </w:pPr>
            <w:r>
              <w:rPr>
                <w:rFonts w:ascii="Times New Roman" w:hAnsi="Times New Roman"/>
                <w:sz w:val="15"/>
              </w:rPr>
              <w:t>Mobile — health (3)</w:t>
            </w:r>
          </w:p>
        </w:tc>
        <w:tc>
          <w:tcPr>
            <w:tcW w:w="596" w:type="dxa"/>
          </w:tcPr>
          <w:p w14:paraId="30E1D4B5">
            <w:pPr>
              <w:spacing w:before="20" w:after="20"/>
              <w:jc w:val="left"/>
            </w:pPr>
            <w:r>
              <w:rPr>
                <w:rFonts w:ascii="Times New Roman" w:hAnsi="Times New Roman"/>
                <w:sz w:val="15"/>
              </w:rPr>
              <w:t>200</w:t>
            </w:r>
          </w:p>
        </w:tc>
        <w:tc>
          <w:tcPr>
            <w:tcW w:w="596" w:type="dxa"/>
          </w:tcPr>
          <w:p w14:paraId="0F00C9C6">
            <w:pPr>
              <w:spacing w:before="20" w:after="20"/>
              <w:jc w:val="left"/>
            </w:pPr>
            <w:r>
              <w:rPr>
                <w:rFonts w:ascii="Times New Roman" w:hAnsi="Times New Roman"/>
                <w:sz w:val="15"/>
              </w:rPr>
              <w:t>2048</w:t>
            </w:r>
          </w:p>
        </w:tc>
        <w:tc>
          <w:tcPr>
            <w:tcW w:w="596" w:type="dxa"/>
          </w:tcPr>
          <w:p w14:paraId="564A20E5">
            <w:pPr>
              <w:spacing w:before="20" w:after="20"/>
              <w:jc w:val="left"/>
            </w:pPr>
            <w:r>
              <w:rPr>
                <w:rFonts w:ascii="Times New Roman" w:hAnsi="Times New Roman"/>
                <w:sz w:val="15"/>
              </w:rPr>
              <w:t>10000</w:t>
            </w:r>
          </w:p>
        </w:tc>
        <w:tc>
          <w:tcPr>
            <w:tcW w:w="596" w:type="dxa"/>
          </w:tcPr>
          <w:p w14:paraId="45A59B2B">
            <w:pPr>
              <w:spacing w:before="20" w:after="20"/>
              <w:jc w:val="left"/>
            </w:pPr>
            <w:r>
              <w:rPr>
                <w:rFonts w:ascii="Times New Roman" w:hAnsi="Times New Roman"/>
                <w:sz w:val="15"/>
              </w:rPr>
              <w:t>270</w:t>
            </w:r>
          </w:p>
        </w:tc>
        <w:tc>
          <w:tcPr>
            <w:tcW w:w="676" w:type="dxa"/>
          </w:tcPr>
          <w:p w14:paraId="3E6186CC">
            <w:pPr>
              <w:spacing w:before="20" w:after="20"/>
              <w:jc w:val="left"/>
            </w:pPr>
            <w:r>
              <w:rPr>
                <w:rFonts w:ascii="Times New Roman" w:hAnsi="Times New Roman"/>
                <w:sz w:val="15"/>
              </w:rPr>
              <w:t>87.53</w:t>
            </w:r>
          </w:p>
        </w:tc>
        <w:tc>
          <w:tcPr>
            <w:tcW w:w="676" w:type="dxa"/>
          </w:tcPr>
          <w:p w14:paraId="0934E490">
            <w:pPr>
              <w:spacing w:before="20" w:after="20"/>
              <w:jc w:val="left"/>
            </w:pPr>
            <w:r>
              <w:rPr>
                <w:rFonts w:ascii="Times New Roman" w:hAnsi="Times New Roman"/>
                <w:sz w:val="15"/>
              </w:rPr>
              <w:t>82.44</w:t>
            </w:r>
          </w:p>
        </w:tc>
      </w:tr>
    </w:tbl>
    <w:p w14:paraId="0B487C7C">
      <w:pPr>
        <w:spacing w:after="80"/>
      </w:pPr>
    </w:p>
    <w:p w14:paraId="38A9317C">
      <w:pPr>
        <w:spacing w:before="0" w:after="60"/>
        <w:ind w:firstLine="288"/>
        <w:jc w:val="both"/>
      </w:pPr>
      <w:r>
        <w:rPr>
          <w:rFonts w:ascii="Times New Roman" w:hAnsi="Times New Roman" w:eastAsia="Times New Roman"/>
          <w:b w:val="0"/>
          <w:i w:val="0"/>
          <w:sz w:val="20"/>
        </w:rPr>
        <w:t>Table IV lists the per-tier hardware profiles actually used. Link latencies are fixed per tier: 100 ms from proxy to cloud, 4 ms from gateway to proxy and 2 ms from a mobile device to its gateway, with a further 6 ms from a body sensor to its host device and 1 ms from the device to its display actuator. Sensors emit tuples on a deterministic inter-transmission interval of 10 ms. The hierarchy itself is not hard-coded: the resource file supplies one cloud record, twelve block-level proxy records and 118 gateway records corresponding to real cellular site locations in the Melbourne central business district, and each gateway is attached to the proxy sharing its block identifier, so that geography rather than configuration determines the tree. Mobile users are bound to their trajectory files and reparented to the nearest gateway as they move, which is what generates the handover behaviour that the network observes as evidence.</w:t>
      </w:r>
    </w:p>
    <w:p w14:paraId="00AE1A75">
      <w:pPr>
        <w:spacing w:before="0" w:after="60"/>
        <w:ind w:firstLine="288"/>
        <w:jc w:val="both"/>
      </w:pPr>
      <w:r>
        <w:rPr>
          <w:rFonts w:ascii="Times New Roman" w:hAnsi="Times New Roman" w:eastAsia="Times New Roman"/>
          <w:b w:val="0"/>
          <w:i w:val="0"/>
          <w:sz w:val="20"/>
        </w:rPr>
        <w:t>This matters for the proposed framework because every evidence variable in the Bayesian network is derived from a quantity the simulator already maintains. CPU utilisation is allocated MIPS against host capacity per scheduling interval; RAM utilisation comes from the provisioner; queue depth is the pending tuple queue on the device; uplink latency and jitter combine the configured link delay with queueing delay; residual energy is the accumulated consumption against a configured budget; handover rate is the count of parent reassignments per window; and the node reliability prior is fixed by device class and configured mean time between failures. Since iFogSim2 exposes no thermal sensor, thermal stress is treated as a latent condition inferred from sustained utilisation rather than as observed evidence. Continuous quantities are discretised using quantiles of the baseline runs, so that a state such as high CPU utilisation is defined relative to the observed distribution of this topology rather than by an arbitrary cut-off.</w:t>
      </w:r>
    </w:p>
    <w:p w14:paraId="7995AF03">
      <w:pPr>
        <w:spacing w:before="140" w:after="60"/>
      </w:pPr>
      <w:r>
        <w:rPr>
          <w:rFonts w:ascii="Times New Roman" w:hAnsi="Times New Roman"/>
          <w:i/>
          <w:sz w:val="20"/>
        </w:rPr>
        <w:t>D.  Evaluation Metrics and Baselines</w:t>
      </w:r>
    </w:p>
    <w:p w14:paraId="28F7129E">
      <w:pPr>
        <w:spacing w:before="0" w:after="60"/>
        <w:ind w:firstLine="288"/>
        <w:jc w:val="both"/>
      </w:pPr>
      <w:r>
        <w:rPr>
          <w:rFonts w:ascii="Times New Roman" w:hAnsi="Times New Roman" w:eastAsia="Times New Roman"/>
          <w:b w:val="0"/>
          <w:i w:val="0"/>
          <w:sz w:val="20"/>
        </w:rPr>
        <w:t>The framework will be assessed along two axes. Prediction quality will be measured by precision, recall and F1 score of failure prediction within the look-ahead horizon, by the calibration of the posterior against observed failure frequency, and by lead time - the interval between a prediction crossing the decision rule and the actual failure - since a prediction that arrives too late to act upon has no operational value. System quality will be measured by mean and tail end-to-end application loop delay, deadline-violation ratio for critical loops, total energy consumption across cloud, fog and end-device tiers, network usage, execution cost, service downtime per injected failure, and redundancy overhead expressed as reserved standby capacity. Robustness will be probed by withholding telemetry channels at inference time to quantify the degradation of prediction quality under partial evidence.</w:t>
      </w:r>
    </w:p>
    <w:p w14:paraId="1DC39995">
      <w:pPr>
        <w:spacing w:before="0" w:after="60"/>
        <w:ind w:firstLine="288"/>
        <w:jc w:val="both"/>
      </w:pPr>
      <w:r>
        <w:rPr>
          <w:rFonts w:ascii="Times New Roman" w:hAnsi="Times New Roman" w:eastAsia="Times New Roman"/>
          <w:b w:val="0"/>
          <w:i w:val="0"/>
          <w:sz w:val="20"/>
        </w:rPr>
        <w:t>Four baselines will be compared under identical conditions: cloud-only placement; the default edgeward placement of iFogSim2 with no fault tolerance; reactive checkpointing with primary-backup replication in the manner of [1]; and threshold-based proactive migration in the manner of FTAPA [5], which is the closest competitor and the most informative comparison, since it isolates the contribution of probabilistic inference from the contribution of acting early.</w:t>
      </w:r>
    </w:p>
    <w:p w14:paraId="3CDD89A4">
      <w:pPr>
        <w:spacing w:before="220" w:after="80"/>
        <w:jc w:val="center"/>
      </w:pPr>
      <w:r>
        <w:rPr>
          <w:rFonts w:ascii="Times New Roman" w:hAnsi="Times New Roman"/>
          <w:smallCaps/>
          <w:sz w:val="20"/>
        </w:rPr>
        <w:t>V.  Conclusion and Future Work</w:t>
      </w:r>
    </w:p>
    <w:p w14:paraId="64B0B30F">
      <w:pPr>
        <w:spacing w:before="0" w:after="60"/>
        <w:ind w:firstLine="288"/>
        <w:jc w:val="both"/>
      </w:pPr>
      <w:r>
        <w:rPr>
          <w:rFonts w:ascii="Times New Roman" w:hAnsi="Times New Roman" w:eastAsia="Times New Roman"/>
          <w:b w:val="0"/>
          <w:i w:val="0"/>
          <w:sz w:val="20"/>
        </w:rPr>
        <w:t>This paper has argued that fault tolerance in fog computing remains predominantly reactive, and that the proactive mechanisms so far reported reduce an inherently uncertain judgement to a fixed threshold on a single metric. A survey of five representative fog fault-tolerance systems found that none quantifies the probability of imminent node failure, none reasons under partial telemetry, and none modulates redundancy by predicted risk. Drawing on an established body of work applying Bayesian Belief Networks to reliability and dependability, the paper has proposed a framework in which a causal BBN infers the posterior probability of fog node failure from noisy and possibly incomplete evidence, a risk-aware utility and an expected-loss decision rule convert that posterior into placement and pre-emptive migration decisions, and a criticality-aware scheme allocates standby capacity in proportion to risk and consequence. The architecture, its block diagram and its workflow have been presented, together with the simulation environment and the datasets on which it will be evaluated.</w:t>
      </w:r>
    </w:p>
    <w:p w14:paraId="36A45D20">
      <w:pPr>
        <w:spacing w:before="0" w:after="60"/>
        <w:ind w:firstLine="288"/>
        <w:jc w:val="both"/>
      </w:pPr>
      <w:r>
        <w:rPr>
          <w:rFonts w:ascii="Times New Roman" w:hAnsi="Times New Roman" w:eastAsia="Times New Roman"/>
          <w:b w:val="0"/>
          <w:i w:val="0"/>
          <w:sz w:val="20"/>
        </w:rPr>
        <w:t>Work in Phase II will proceed in four stages: construction and expert validation of the BBN structure and its initial conditional probability tables; implementation of the inference engine and the fault-injection harness within iFogSim2; implementation of the risk-aware placement, expected-loss migration and selective replication policies as an iFogSim2 placement logic; and comparative evaluation against the four baselines across the metrics enumerated in Section IV. Longer-term extensions include a dynamic Bayesian network formulation to model the temporal evolution of node degradation explicitly, and distributed inference across clustered fog nodes to remove the controller as a single point of failure.</w:t>
      </w:r>
    </w:p>
    <w:p w14:paraId="67394430">
      <w:pPr>
        <w:spacing w:before="220" w:after="80"/>
        <w:jc w:val="center"/>
      </w:pPr>
      <w:r>
        <w:rPr>
          <w:rFonts w:ascii="Times New Roman" w:hAnsi="Times New Roman"/>
          <w:smallCaps/>
          <w:sz w:val="20"/>
        </w:rPr>
        <w:t>References</w:t>
      </w:r>
    </w:p>
    <w:p w14:paraId="1A006FE6">
      <w:pPr>
        <w:spacing w:after="40"/>
        <w:ind w:left="360" w:hanging="360"/>
        <w:jc w:val="both"/>
      </w:pPr>
      <w:r>
        <w:rPr>
          <w:rFonts w:ascii="Times New Roman" w:hAnsi="Times New Roman"/>
          <w:sz w:val="16"/>
        </w:rPr>
        <w:t>[1]</w:t>
      </w:r>
      <w:r>
        <w:rPr>
          <w:rFonts w:ascii="Times New Roman" w:hAnsi="Times New Roman"/>
          <w:sz w:val="16"/>
        </w:rPr>
        <w:tab/>
      </w:r>
      <w:r>
        <w:rPr>
          <w:rFonts w:ascii="Times New Roman" w:hAnsi="Times New Roman"/>
          <w:sz w:val="16"/>
        </w:rPr>
        <w:t>H. T. Rajab and M. F. Younis, “Dynamic fault tolerance aware scheduling for healthcare system on fog computing,” Iraqi Journal of Science, vol. 62, no. 1, pp. 308–318, 2021.</w:t>
      </w:r>
    </w:p>
    <w:p w14:paraId="0E7542CA">
      <w:pPr>
        <w:spacing w:after="40"/>
        <w:ind w:left="360" w:hanging="360"/>
        <w:jc w:val="both"/>
      </w:pPr>
      <w:r>
        <w:rPr>
          <w:rFonts w:ascii="Times New Roman" w:hAnsi="Times New Roman"/>
          <w:sz w:val="16"/>
        </w:rPr>
        <w:t>[2]</w:t>
      </w:r>
      <w:r>
        <w:rPr>
          <w:rFonts w:ascii="Times New Roman" w:hAnsi="Times New Roman"/>
          <w:sz w:val="16"/>
        </w:rPr>
        <w:tab/>
      </w:r>
      <w:r>
        <w:rPr>
          <w:rFonts w:ascii="Times New Roman" w:hAnsi="Times New Roman"/>
          <w:sz w:val="16"/>
        </w:rPr>
        <w:t>S. A. Syed et al., “QoS aware and fault tolerance based software-defined vehicular networks using cloud-fog computing,” Sensors, vol. 22, no. 1, art. 401, 2022.</w:t>
      </w:r>
    </w:p>
    <w:p w14:paraId="6C8CE4FD">
      <w:pPr>
        <w:spacing w:after="40"/>
        <w:ind w:left="360" w:hanging="360"/>
        <w:jc w:val="both"/>
      </w:pPr>
      <w:r>
        <w:rPr>
          <w:rFonts w:ascii="Times New Roman" w:hAnsi="Times New Roman"/>
          <w:sz w:val="16"/>
        </w:rPr>
        <w:t>[3]</w:t>
      </w:r>
      <w:r>
        <w:rPr>
          <w:rFonts w:ascii="Times New Roman" w:hAnsi="Times New Roman"/>
          <w:sz w:val="16"/>
        </w:rPr>
        <w:tab/>
      </w:r>
      <w:r>
        <w:rPr>
          <w:rFonts w:ascii="Times New Roman" w:hAnsi="Times New Roman"/>
          <w:sz w:val="16"/>
        </w:rPr>
        <w:t>M. H. Naim, J. M. Zain, and K. A. Jalil, “Fault tolerance mechanism for software application through fog computing as middleware,” International Journal of Computing and Digital Systems, vol. 5, no. 3, May 2016.</w:t>
      </w:r>
    </w:p>
    <w:p w14:paraId="17F039A2">
      <w:pPr>
        <w:spacing w:after="40"/>
        <w:ind w:left="360" w:hanging="360"/>
        <w:jc w:val="both"/>
      </w:pPr>
      <w:r>
        <w:rPr>
          <w:rFonts w:ascii="Times New Roman" w:hAnsi="Times New Roman"/>
          <w:sz w:val="16"/>
        </w:rPr>
        <w:t>[4]</w:t>
      </w:r>
      <w:r>
        <w:rPr>
          <w:rFonts w:ascii="Times New Roman" w:hAnsi="Times New Roman"/>
          <w:sz w:val="16"/>
        </w:rPr>
        <w:tab/>
      </w:r>
      <w:r>
        <w:rPr>
          <w:rFonts w:ascii="Times New Roman" w:hAnsi="Times New Roman"/>
          <w:sz w:val="16"/>
        </w:rPr>
        <w:t>A. Reyana, S. Kautish, K. A. Alnowibet, H. M. Zawbaa, and A. W. Mohamed, “Opportunities of IoT in fog computing for high fault tolerance and sustainable energy optimization,” Sustainability, vol. 15, no. 11, art. 8702, 2023.</w:t>
      </w:r>
    </w:p>
    <w:p w14:paraId="3A0692FB">
      <w:pPr>
        <w:spacing w:after="40"/>
        <w:ind w:left="360" w:hanging="360"/>
        <w:jc w:val="both"/>
      </w:pPr>
      <w:r>
        <w:rPr>
          <w:rFonts w:ascii="Times New Roman" w:hAnsi="Times New Roman"/>
          <w:sz w:val="16"/>
        </w:rPr>
        <w:t>[5]</w:t>
      </w:r>
      <w:r>
        <w:rPr>
          <w:rFonts w:ascii="Times New Roman" w:hAnsi="Times New Roman"/>
          <w:sz w:val="16"/>
        </w:rPr>
        <w:tab/>
      </w:r>
      <w:r>
        <w:rPr>
          <w:rFonts w:ascii="Times New Roman" w:hAnsi="Times New Roman"/>
          <w:sz w:val="16"/>
        </w:rPr>
        <w:t>S. Gupta and N. Singh, “Optimized fault-tolerant placement of microservices in distributed fog networks,” International Journal of Data Informatics and Intelligent Computing, vol. 4, no. 4, pp. 52–69, Dec. 2025.</w:t>
      </w:r>
    </w:p>
    <w:p w14:paraId="4297659D">
      <w:pPr>
        <w:spacing w:after="40"/>
        <w:ind w:left="360" w:hanging="360"/>
        <w:jc w:val="both"/>
      </w:pPr>
      <w:r>
        <w:rPr>
          <w:rFonts w:ascii="Times New Roman" w:hAnsi="Times New Roman"/>
          <w:sz w:val="16"/>
        </w:rPr>
        <w:t>[6]</w:t>
      </w:r>
      <w:r>
        <w:rPr>
          <w:rFonts w:ascii="Times New Roman" w:hAnsi="Times New Roman"/>
          <w:sz w:val="16"/>
        </w:rPr>
        <w:tab/>
      </w:r>
      <w:r>
        <w:rPr>
          <w:rFonts w:ascii="Times New Roman" w:hAnsi="Times New Roman"/>
          <w:sz w:val="16"/>
        </w:rPr>
        <w:t>J. Pearl, Probabilistic Reasoning in Intelligent Systems: Networks of Plausible Inference. San Mateo, CA, USA: Morgan Kaufmann, 1988.</w:t>
      </w:r>
    </w:p>
    <w:p w14:paraId="78BE3964">
      <w:pPr>
        <w:spacing w:after="40"/>
        <w:ind w:left="360" w:hanging="360"/>
        <w:jc w:val="both"/>
      </w:pPr>
      <w:r>
        <w:rPr>
          <w:rFonts w:ascii="Times New Roman" w:hAnsi="Times New Roman"/>
          <w:sz w:val="16"/>
        </w:rPr>
        <w:t>[7]</w:t>
      </w:r>
      <w:r>
        <w:rPr>
          <w:rFonts w:ascii="Times New Roman" w:hAnsi="Times New Roman"/>
          <w:sz w:val="16"/>
        </w:rPr>
        <w:tab/>
      </w:r>
      <w:r>
        <w:rPr>
          <w:rFonts w:ascii="Times New Roman" w:hAnsi="Times New Roman"/>
          <w:sz w:val="16"/>
        </w:rPr>
        <w:t>N. Fenton, M. Neil, and D. Marquez, “Using Bayesian networks to predict software defects and reliability,” in Proc. 5th Int. Conf. Mathematical Methods in Reliability (MMR07), Glasgow, U.K., 2007.</w:t>
      </w:r>
    </w:p>
    <w:p w14:paraId="7AA65637">
      <w:pPr>
        <w:spacing w:after="40"/>
        <w:ind w:left="360" w:hanging="360"/>
        <w:jc w:val="both"/>
      </w:pPr>
      <w:r>
        <w:rPr>
          <w:rFonts w:ascii="Times New Roman" w:hAnsi="Times New Roman"/>
          <w:sz w:val="16"/>
        </w:rPr>
        <w:t>[8]</w:t>
      </w:r>
      <w:r>
        <w:rPr>
          <w:rFonts w:ascii="Times New Roman" w:hAnsi="Times New Roman"/>
          <w:sz w:val="16"/>
        </w:rPr>
        <w:tab/>
      </w:r>
      <w:r>
        <w:rPr>
          <w:rFonts w:ascii="Times New Roman" w:hAnsi="Times New Roman"/>
          <w:sz w:val="16"/>
        </w:rPr>
        <w:t>P. Weber, G. Medina-Oliva, C. Simon, and B. Iung, “Overview on Bayesian networks applications for dependability, risk analysis and maintenance areas,” Engineering Applications of Artificial Intelligence, vol. 25, no. 4, pp. 671–682, 2012.</w:t>
      </w:r>
    </w:p>
    <w:p w14:paraId="315F947E">
      <w:pPr>
        <w:spacing w:after="40"/>
        <w:ind w:left="360" w:hanging="360"/>
        <w:jc w:val="both"/>
      </w:pPr>
      <w:r>
        <w:rPr>
          <w:rFonts w:ascii="Times New Roman" w:hAnsi="Times New Roman"/>
          <w:sz w:val="16"/>
        </w:rPr>
        <w:t>[9]</w:t>
      </w:r>
      <w:r>
        <w:rPr>
          <w:rFonts w:ascii="Times New Roman" w:hAnsi="Times New Roman"/>
          <w:sz w:val="16"/>
        </w:rPr>
        <w:tab/>
      </w:r>
      <w:r>
        <w:rPr>
          <w:rFonts w:ascii="Times New Roman" w:hAnsi="Times New Roman"/>
          <w:sz w:val="16"/>
        </w:rPr>
        <w:t>P. A. Aguilera, A. Fernández, R. Fernández, R. Rumí, and A. Salmerón, “Bayesian networks in environmental modelling,” Environmental Modelling &amp; Software, vol. 26, no. 12, pp. 1376–1388, 2011.</w:t>
      </w:r>
    </w:p>
    <w:p w14:paraId="26689CBE">
      <w:pPr>
        <w:spacing w:after="40"/>
        <w:ind w:left="360" w:hanging="360"/>
        <w:jc w:val="both"/>
      </w:pPr>
      <w:r>
        <w:rPr>
          <w:rFonts w:ascii="Times New Roman" w:hAnsi="Times New Roman"/>
          <w:sz w:val="16"/>
        </w:rPr>
        <w:t>[10]</w:t>
      </w:r>
      <w:r>
        <w:rPr>
          <w:rFonts w:ascii="Times New Roman" w:hAnsi="Times New Roman"/>
          <w:sz w:val="16"/>
        </w:rPr>
        <w:tab/>
      </w:r>
      <w:r>
        <w:rPr>
          <w:rFonts w:ascii="Times New Roman" w:hAnsi="Times New Roman"/>
          <w:sz w:val="16"/>
        </w:rPr>
        <w:t>B. Pang and E. S. Abramov, “Reliability analysis and parameter selection for IoT communication based on deep learning,” Eng, vol. 6, no. 8, art. 171, 2025.</w:t>
      </w:r>
    </w:p>
    <w:p w14:paraId="62FCB2CF">
      <w:pPr>
        <w:spacing w:after="40"/>
        <w:ind w:left="360" w:hanging="360"/>
        <w:jc w:val="both"/>
      </w:pPr>
      <w:r>
        <w:rPr>
          <w:rFonts w:ascii="Times New Roman" w:hAnsi="Times New Roman"/>
          <w:sz w:val="16"/>
        </w:rPr>
        <w:t>[11]</w:t>
      </w:r>
      <w:r>
        <w:rPr>
          <w:rFonts w:ascii="Times New Roman" w:hAnsi="Times New Roman"/>
          <w:sz w:val="16"/>
        </w:rPr>
        <w:tab/>
      </w:r>
      <w:r>
        <w:rPr>
          <w:rFonts w:ascii="Times New Roman" w:hAnsi="Times New Roman"/>
          <w:sz w:val="16"/>
        </w:rPr>
        <w:t>D. A. Hasan and S. R. M. Zeebaree, “Proactive fault tolerance in distributed cloud systems: A review of predictive and preventive techniques,” Indonesian Journal of Computer Science, vol. 13, no. 2, 2024.</w:t>
      </w:r>
    </w:p>
    <w:p w14:paraId="10FCD1BC">
      <w:pPr>
        <w:spacing w:after="40"/>
        <w:ind w:left="360" w:hanging="360"/>
        <w:jc w:val="both"/>
      </w:pPr>
      <w:r>
        <w:rPr>
          <w:rFonts w:ascii="Times New Roman" w:hAnsi="Times New Roman"/>
          <w:sz w:val="16"/>
        </w:rPr>
        <w:t>[12]</w:t>
      </w:r>
      <w:r>
        <w:rPr>
          <w:rFonts w:ascii="Times New Roman" w:hAnsi="Times New Roman"/>
          <w:sz w:val="16"/>
        </w:rPr>
        <w:tab/>
      </w:r>
      <w:r>
        <w:rPr>
          <w:rFonts w:ascii="Times New Roman" w:hAnsi="Times New Roman"/>
          <w:sz w:val="16"/>
        </w:rPr>
        <w:t>P. Sharma and P. K. Gupta, “Novel particle bee optimisation based framework for fault tolerance in fog environment,” Journal of Physics: Conference Series, vol. 2570, art. 012029, 2023.</w:t>
      </w:r>
    </w:p>
    <w:p w14:paraId="7122823C">
      <w:pPr>
        <w:spacing w:after="40"/>
        <w:ind w:left="360" w:hanging="360"/>
        <w:jc w:val="both"/>
      </w:pPr>
      <w:r>
        <w:rPr>
          <w:rFonts w:ascii="Times New Roman" w:hAnsi="Times New Roman"/>
          <w:sz w:val="16"/>
        </w:rPr>
        <w:t>[13]</w:t>
      </w:r>
      <w:r>
        <w:rPr>
          <w:rFonts w:ascii="Times New Roman" w:hAnsi="Times New Roman"/>
          <w:sz w:val="16"/>
        </w:rPr>
        <w:tab/>
      </w:r>
      <w:r>
        <w:rPr>
          <w:rFonts w:ascii="Times New Roman" w:hAnsi="Times New Roman"/>
          <w:sz w:val="16"/>
        </w:rPr>
        <w:t>S. Khan, S. Parkinson, and Y. Qin, “Fog computing security: A review of current applications and security solutions,” Journal of Cloud Computing, vol. 6, art. 19, 2017.</w:t>
      </w:r>
    </w:p>
    <w:p w14:paraId="4E8CB14A">
      <w:pPr>
        <w:spacing w:after="40"/>
        <w:ind w:left="360" w:hanging="360"/>
        <w:jc w:val="both"/>
      </w:pPr>
      <w:r>
        <w:rPr>
          <w:rFonts w:ascii="Times New Roman" w:hAnsi="Times New Roman"/>
          <w:sz w:val="16"/>
        </w:rPr>
        <w:t>[14]</w:t>
      </w:r>
      <w:r>
        <w:rPr>
          <w:rFonts w:ascii="Times New Roman" w:hAnsi="Times New Roman"/>
          <w:sz w:val="16"/>
        </w:rPr>
        <w:tab/>
      </w:r>
      <w:r>
        <w:rPr>
          <w:rFonts w:ascii="Times New Roman" w:hAnsi="Times New Roman"/>
          <w:sz w:val="16"/>
        </w:rPr>
        <w:t>R. Mahmud, S. Pallewatta, M. Goudarzi, and R. Buyya, “iFogSim2: An extended iFogSim simulator for mobility, clustering, and microservice management in edge and fog computing environments,” Journal of Systems and Software, vol. 190, art. 111351, 2022.</w:t>
      </w:r>
    </w:p>
    <w:p w14:paraId="70BF3931">
      <w:pPr>
        <w:spacing w:after="40"/>
        <w:ind w:left="360" w:hanging="360"/>
        <w:jc w:val="both"/>
      </w:pPr>
      <w:r>
        <w:rPr>
          <w:rFonts w:ascii="Times New Roman" w:hAnsi="Times New Roman"/>
          <w:sz w:val="16"/>
        </w:rPr>
        <w:t>[15]</w:t>
      </w:r>
      <w:r>
        <w:rPr>
          <w:rFonts w:ascii="Times New Roman" w:hAnsi="Times New Roman"/>
          <w:sz w:val="16"/>
        </w:rPr>
        <w:tab/>
      </w:r>
      <w:r>
        <w:rPr>
          <w:rFonts w:ascii="Times New Roman" w:hAnsi="Times New Roman"/>
          <w:sz w:val="16"/>
        </w:rPr>
        <w:t>H. Gupta, A. V. Dastjerdi, S. K. Ghosh, and R. Buyya, “iFogSim: A toolkit for modeling and simulation of resource management techniques in the Internet of Things, Edge and Fog computing environments,” Software: Practice and Experience, vol. 47, no. 9, pp. 1275–1296, 2017.</w:t>
      </w:r>
    </w:p>
    <w:sectPr>
      <w:type w:val="continuous"/>
      <w:pgSz w:w="11909" w:h="16834"/>
      <w:pgMar w:top="1080" w:right="907" w:bottom="1080" w:left="907"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November Bangla Traditional">
    <w:panose1 w:val="00000000000000000000"/>
    <w:charset w:val="00"/>
    <w:family w:val="auto"/>
    <w:pitch w:val="default"/>
    <w:sig w:usb0="A10180FF" w:usb1="5200E4FB" w:usb2="00000001" w:usb3="00000000" w:csb0="2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F76A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240"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rahul</cp:lastModifiedBy>
  <dcterms:modified xsi:type="dcterms:W3CDTF">2026-08-21T09:10:18Z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0706D2446730B6D0A2C8876ACE9E1B83_42</vt:lpwstr>
  </property>
</Properties>
</file>