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Minimal Research Paper Outline: Water Quality Index Forecasting Under Sparse Irregular Sampling</w:t>
      </w:r>
    </w:p>
    <w:p>
      <w:pPr>
        <w:pStyle w:val="Subtitle"/>
      </w:pPr>
      <w:r>
        <w:t xml:space="preserve">Working outline based on current repository results as of July 2026. This is not a drafted paper.</w:t>
      </w:r>
    </w:p>
    <w:p>
      <w:pPr>
        <w:pStyle w:val="Heading1"/>
      </w:pPr>
      <w:r>
        <w:t xml:space="preserve">Central Claim</w:t>
      </w:r>
    </w:p>
    <w:p>
      <w:r>
        <w:t xml:space="preserve">Sparse and irregular groundwater observations make regular monthly WQI forecasting difficult. Simple persistence is the strongest untouched holdout baseline, while Kalman-filled lag features materially improve the parameter-based CatBoost model.</w:t>
      </w:r>
    </w:p>
    <w:p>
      <w:pPr>
        <w:pStyle w:val="Heading1"/>
      </w:pPr>
      <w:r>
        <w:t xml:space="preserve">1. Proposed Title Options</w:t>
      </w:r>
    </w:p>
    <w:p>
      <w:pPr>
        <w:numPr>
          <w:ilvl w:val="0"/>
          <w:numId w:val="1"/>
        </w:numPr>
      </w:pPr>
      <w:r>
        <w:t xml:space="preserve">Forecasting Groundwater Water Quality Index Under Sparse Irregular Sampling: A Comparative Study of Persistence, CatBoost, Kalman-Aided Lags, and GAMs</w:t>
      </w:r>
    </w:p>
    <w:p>
      <w:pPr>
        <w:numPr>
          <w:ilvl w:val="0"/>
          <w:numId w:val="1"/>
        </w:numPr>
      </w:pPr>
      <w:r>
        <w:t xml:space="preserve">Limits of Machine Learning for Sparse Water Quality Forecasting: Evidence from Irregular Monthly WQI Panels</w:t>
      </w:r>
    </w:p>
    <w:p>
      <w:pPr>
        <w:numPr>
          <w:ilvl w:val="0"/>
          <w:numId w:val="1"/>
        </w:numPr>
      </w:pPr>
      <w:r>
        <w:t xml:space="preserve">When Baselines Win: Evaluating WQI Forecasting Models Under Data Sparsity and Temporal Gaps</w:t>
      </w:r>
    </w:p>
    <w:p>
      <w:pPr>
        <w:pStyle w:val="Heading1"/>
      </w:pPr>
      <w:r>
        <w:t xml:space="preserve">2. Abstract Outline</w:t>
      </w:r>
    </w:p>
    <w:p>
      <w:pPr>
        <w:numPr>
          <w:ilvl w:val="0"/>
          <w:numId w:val="1"/>
        </w:numPr>
      </w:pPr>
      <w:r>
        <w:t xml:space="preserve">Problem: groundwater WQI monitoring data are sparse, irregular, and location-specific.</w:t>
      </w:r>
    </w:p>
    <w:p>
      <w:pPr>
        <w:numPr>
          <w:ilvl w:val="0"/>
          <w:numId w:val="1"/>
        </w:numPr>
      </w:pPr>
      <w:r>
        <w:t xml:space="preserve">Approach: compare direct WQI models, parameter-decomposition CatBoost, persistence/location/seasonal baselines, Sen slope trend features, Kalman-filled lag sources, and a GAM competitor.</w:t>
      </w:r>
    </w:p>
    <w:p>
      <w:pPr>
        <w:numPr>
          <w:ilvl w:val="0"/>
          <w:numId w:val="1"/>
        </w:numPr>
      </w:pPr>
      <w:r>
        <w:t xml:space="preserve">Main finding: the best untouched holdout result is Persistence (RMSE 12.18, MAE 8.79, R2 0.149), while Kalman improves parameter CatBoost from roughly RMSE 14.80 to 13.44.</w:t>
      </w:r>
    </w:p>
    <w:p>
      <w:pPr>
        <w:numPr>
          <w:ilvl w:val="0"/>
          <w:numId w:val="1"/>
        </w:numPr>
      </w:pPr>
      <w:r>
        <w:t xml:space="preserve">Interpretation: short-term continuity dominates available signal; complex models help but do not overcome the sampling constraint.</w:t>
      </w:r>
    </w:p>
    <w:p>
      <w:pPr>
        <w:pStyle w:val="Heading1"/>
      </w:pPr>
      <w:r>
        <w:t xml:space="preserve">3. Introduction Outline</w:t>
      </w:r>
    </w:p>
    <w:p>
      <w:pPr>
        <w:numPr>
          <w:ilvl w:val="0"/>
          <w:numId w:val="1"/>
        </w:numPr>
      </w:pPr>
      <w:r>
        <w:t xml:space="preserve">Motivation: WQI forecasting can support monitoring, early warning, and prioritization of water quality interventions.</w:t>
      </w:r>
    </w:p>
    <w:p>
      <w:pPr>
        <w:numPr>
          <w:ilvl w:val="0"/>
          <w:numId w:val="1"/>
        </w:numPr>
      </w:pPr>
      <w:r>
        <w:t xml:space="preserve">Data challenge: observations are not regular monthly panels; locations often have multi-month gaps.</w:t>
      </w:r>
    </w:p>
    <w:p>
      <w:pPr>
        <w:numPr>
          <w:ilvl w:val="0"/>
          <w:numId w:val="1"/>
        </w:numPr>
      </w:pPr>
      <w:r>
        <w:t xml:space="preserve">Research question: which forecasting strategy is reliable when monitored water-quality panels are sparse and irregular?</w:t>
      </w:r>
    </w:p>
    <w:p>
      <w:pPr>
        <w:numPr>
          <w:ilvl w:val="0"/>
          <w:numId w:val="1"/>
        </w:numPr>
      </w:pPr>
      <w:r>
        <w:t xml:space="preserve">Contribution: an honest comparison of ML models and simple baselines, including trend and gap-aware temporal feature engineering.</w:t>
      </w:r>
    </w:p>
    <w:p>
      <w:pPr>
        <w:pStyle w:val="Heading1"/>
      </w:pPr>
      <w:r>
        <w:t xml:space="preserve">4. Dataset and Preprocessing Outline</w:t>
      </w:r>
    </w:p>
    <w:p>
      <w:pPr>
        <w:numPr>
          <w:ilvl w:val="0"/>
          <w:numId w:val="1"/>
        </w:numPr>
      </w:pPr>
      <w:r>
        <w:t xml:space="preserve">Dataset unit: Block, Location, Date, WQI_mean, and parameter means for pH, TDS, Hardness, Chloride, Fluoride, Alkalinity, Sulphate, and Nitrate.</w:t>
      </w:r>
    </w:p>
    <w:p>
      <w:pPr>
        <w:numPr>
          <w:ilvl w:val="0"/>
          <w:numId w:val="1"/>
        </w:numPr>
      </w:pPr>
      <w:r>
        <w:t xml:space="preserve">Current observed monthly rows: 821; parameter feature rows after lag construction: 721.</w:t>
      </w:r>
    </w:p>
    <w:p>
      <w:pPr>
        <w:numPr>
          <w:ilvl w:val="0"/>
          <w:numId w:val="1"/>
        </w:numPr>
      </w:pPr>
      <w:r>
        <w:t xml:space="preserve">Holdout design: untouched holdout begins on 2025-01-01; holdout rows: 64.</w:t>
      </w:r>
    </w:p>
    <w:p>
      <w:pPr>
        <w:numPr>
          <w:ilvl w:val="0"/>
          <w:numId w:val="1"/>
        </w:numPr>
      </w:pPr>
      <w:r>
        <w:t xml:space="preserve">Validation design: rolling-origin validation dates from 2024-03-01 through 2024-12-01; 10 folds.</w:t>
      </w:r>
    </w:p>
    <w:p>
      <w:pPr>
        <w:pStyle w:val="Heading1"/>
      </w:pPr>
      <w:r>
        <w:t xml:space="preserve">5. Methods Outline</w:t>
      </w:r>
    </w:p>
    <w:p>
      <w:pPr>
        <w:numPr>
          <w:ilvl w:val="0"/>
          <w:numId w:val="1"/>
        </w:numPr>
      </w:pPr>
      <w:r>
        <w:t xml:space="preserve">Baselines: Persistence, LocationMean, SeasonalMean.</w:t>
      </w:r>
    </w:p>
    <w:p>
      <w:pPr>
        <w:numPr>
          <w:ilvl w:val="0"/>
          <w:numId w:val="1"/>
        </w:numPr>
      </w:pPr>
      <w:r>
        <w:t xml:space="preserve">Direct WQI ML: CatBoost, RandomForest, XGBoost using lagged WQI and temporal/location features.</w:t>
      </w:r>
    </w:p>
    <w:p>
      <w:pPr>
        <w:numPr>
          <w:ilvl w:val="0"/>
          <w:numId w:val="1"/>
        </w:numPr>
      </w:pPr>
      <w:r>
        <w:t xml:space="preserve">Parameter CatBoost: train separate parameter models, then recompute WQI from predicted parameters.</w:t>
      </w:r>
    </w:p>
    <w:p>
      <w:pPr>
        <w:numPr>
          <w:ilvl w:val="0"/>
          <w:numId w:val="1"/>
        </w:numPr>
      </w:pPr>
      <w:r>
        <w:t xml:space="preserve">Sen slope features: compute per-location long-run nonparametric trend features from pre-holdout training history only.</w:t>
      </w:r>
    </w:p>
    <w:p>
      <w:pPr>
        <w:numPr>
          <w:ilvl w:val="0"/>
          <w:numId w:val="1"/>
        </w:numPr>
      </w:pPr>
      <w:r>
        <w:t xml:space="preserve">Kalman gap-filling: create complete monthly location spines; use Kalman-filled parameter values only as lag sources, never as targets.</w:t>
      </w:r>
    </w:p>
    <w:p>
      <w:pPr>
        <w:numPr>
          <w:ilvl w:val="0"/>
          <w:numId w:val="1"/>
        </w:numPr>
      </w:pPr>
      <w:r>
        <w:t xml:space="preserve">GAM competitor: direct WQI GAM with smooth decimal year, WQI lag, gap lag, seasonal terms, and location factor.</w:t>
      </w:r>
    </w:p>
    <w:p>
      <w:pPr>
        <w:numPr>
          <w:ilvl w:val="0"/>
          <w:numId w:val="1"/>
        </w:numPr>
      </w:pPr>
      <w:r>
        <w:t xml:space="preserve">Interpolated experiment: included only as a diagnostic/sensitivity result because filled rows change the evaluation surface.</w:t>
      </w:r>
    </w:p>
    <w:p>
      <w:pPr>
        <w:pStyle w:val="Heading1"/>
      </w:pPr>
      <w:r>
        <w:t xml:space="preserve">6. Key Results to Report</w:t>
      </w:r>
    </w:p>
    <w:p>
      <w:pPr>
        <w:pStyle w:val="Heading2"/>
      </w:pPr>
      <w:r>
        <w:t xml:space="preserve">Primary untouched holdout comparison from current repo: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1900"/>
        <w:gridCol w:w="900"/>
        <w:gridCol w:w="900"/>
        <w:gridCol w:w="900"/>
        <w:gridCol w:w="4760"/>
      </w:tblGrid>
      <w:tr>
        <w:trPr>
          <w:tblHeader/>
        </w:trPr>
        <w:tc>
          <w:tcPr>
            <w:tcW w:w="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Model / Experiment</w:t>
            </w:r>
          </w:p>
        </w:tc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RMSE</w:t>
            </w:r>
          </w:p>
        </w:tc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MAE</w:t>
            </w:r>
          </w:p>
        </w:tc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R2</w:t>
            </w:r>
          </w:p>
        </w:tc>
        <w:tc>
          <w:tcPr>
            <w:tcW w:w="4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Persistence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12.18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8.79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0.149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Best holdout result; short-term continuity dominates.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Parameter CatBoost + Sen + Kalman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13.44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10.81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-0.035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Best ML-style parameter model; improved by Kalman lags.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Parameter CatBoost default + Sen + Kalman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13.42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10.82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-0.032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Similar to tuned; tuning adds little on holdout.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GAM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14.49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11.27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-0.203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Runs successfully; better than old DirectCatBoost but not best.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DirectCatBoost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14.92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12.31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-0.276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Direct ML baseline underperforms Kalman parameter model.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SeasonalMean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16.49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13.93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-0.558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Seasonality alone is insufficient.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LocationMean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19.80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16.71</w:t>
            </w:r>
          </w:p>
        </w:tc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-1.247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Poor under holdout shift/sparsity.</w:t>
            </w:r>
          </w:p>
        </w:tc>
      </w:tr>
    </w:tbl>
    <w:p>
      <w:pPr>
        <w:pStyle w:val="Heading2"/>
      </w:pPr>
      <w:r>
        <w:t xml:space="preserve">Validation Summary Notes</w:t>
      </w:r>
    </w:p>
    <w:p>
      <w:pPr>
        <w:numPr>
          <w:ilvl w:val="0"/>
          <w:numId w:val="1"/>
        </w:numPr>
      </w:pPr>
      <w:r>
        <w:t xml:space="preserve">DirectCatBoost has the best 10-fold validation RMSE among the compared validation summaries (mean RMSE 16.13).</w:t>
      </w:r>
    </w:p>
    <w:p>
      <w:pPr>
        <w:numPr>
          <w:ilvl w:val="0"/>
          <w:numId w:val="1"/>
        </w:numPr>
      </w:pPr>
      <w:r>
        <w:t xml:space="preserve">Parameter CatBoost with Sen + Kalman improves holdout substantially but still has noisy validation (mean RMSE 17.78, high fold variance).</w:t>
      </w:r>
    </w:p>
    <w:p>
      <w:pPr>
        <w:numPr>
          <w:ilvl w:val="0"/>
          <w:numId w:val="1"/>
        </w:numPr>
      </w:pPr>
      <w:r>
        <w:t xml:space="preserve">GAM validation mean RMSE is 17.85, similar to the parameter model but not superior.</w:t>
      </w:r>
    </w:p>
    <w:p>
      <w:pPr>
        <w:numPr>
          <w:ilvl w:val="0"/>
          <w:numId w:val="1"/>
        </w:numPr>
      </w:pPr>
      <w:r>
        <w:t xml:space="preserve">Validation/holdout disagreement is itself a finding: sparse irregular data make fold-level estimates unstable.</w:t>
      </w:r>
    </w:p>
    <w:p>
      <w:pPr>
        <w:pStyle w:val="Heading2"/>
      </w:pPr>
      <w:r>
        <w:t xml:space="preserve">Temporal Feature Engineering Findings</w:t>
      </w:r>
    </w:p>
    <w:p>
      <w:pPr>
        <w:numPr>
          <w:ilvl w:val="0"/>
          <w:numId w:val="1"/>
        </w:numPr>
      </w:pPr>
      <w:r>
        <w:t xml:space="preserve">Sen slope alone produced only marginal improvement; useful as weak trend signal but not transformative.</w:t>
      </w:r>
    </w:p>
    <w:p>
      <w:pPr>
        <w:numPr>
          <w:ilvl w:val="0"/>
          <w:numId w:val="1"/>
        </w:numPr>
      </w:pPr>
      <w:r>
        <w:t xml:space="preserve">Kalman lag-source rows: 2,590 total monthly source rows, including 1,769 synthetic gap rows; target rows remain 721 observed-only rows.</w:t>
      </w:r>
    </w:p>
    <w:p>
      <w:pPr>
        <w:numPr>
          <w:ilvl w:val="0"/>
          <w:numId w:val="1"/>
        </w:numPr>
      </w:pPr>
      <w:r>
        <w:t xml:space="preserve">Kalman changed many lag values and reduced parameter CatBoost holdout RMSE from roughly 14.80 to 13.44.</w:t>
      </w:r>
    </w:p>
    <w:p>
      <w:pPr>
        <w:numPr>
          <w:ilvl w:val="0"/>
          <w:numId w:val="1"/>
        </w:numPr>
      </w:pPr>
      <w:r>
        <w:t xml:space="preserve">Conclusion: gap-aware lag construction matters more than static long-run slope encoding.</w:t>
      </w:r>
    </w:p>
    <w:p>
      <w:pPr>
        <w:pStyle w:val="Heading2"/>
      </w:pPr>
      <w:r>
        <w:t xml:space="preserve">Interpolated Experiment Caveat</w:t>
      </w:r>
    </w:p>
    <w:p>
      <w:pPr>
        <w:numPr>
          <w:ilvl w:val="0"/>
          <w:numId w:val="1"/>
        </w:numPr>
      </w:pPr>
      <w:r>
        <w:t xml:space="preserve">Interpolated holdout metrics look strong: DirectCatBoost RMSE 8.52, R2 0.471; ParameterCatBoost RMSE 8.59, R2 0.462.</w:t>
      </w:r>
    </w:p>
    <w:p>
      <w:pPr>
        <w:numPr>
          <w:ilvl w:val="0"/>
          <w:numId w:val="1"/>
        </w:numPr>
      </w:pPr>
      <w:r>
        <w:t xml:space="preserve">Do not present interpolated results as the primary forecast claim unless the evaluation target is explicitly redefined.</w:t>
      </w:r>
    </w:p>
    <w:p>
      <w:pPr>
        <w:numPr>
          <w:ilvl w:val="0"/>
          <w:numId w:val="1"/>
        </w:numPr>
      </w:pPr>
      <w:r>
        <w:t xml:space="preserve">Use interpolation results as a sensitivity/upper-bound diagnostic showing how much easier the task becomes when monthly regularity is imposed.</w:t>
      </w:r>
    </w:p>
    <w:p>
      <w:pPr>
        <w:pStyle w:val="Heading1"/>
      </w:pPr>
      <w:r>
        <w:t xml:space="preserve">7. Discussion Outline</w:t>
      </w:r>
    </w:p>
    <w:p>
      <w:pPr>
        <w:numPr>
          <w:ilvl w:val="0"/>
          <w:numId w:val="1"/>
        </w:numPr>
      </w:pPr>
      <w:r>
        <w:t xml:space="preserve">Persistence winning the holdout suggests WQI changes slowly enough that last observed value is highly informative.</w:t>
      </w:r>
    </w:p>
    <w:p>
      <w:pPr>
        <w:numPr>
          <w:ilvl w:val="0"/>
          <w:numId w:val="1"/>
        </w:numPr>
      </w:pPr>
      <w:r>
        <w:t xml:space="preserve">Negative R2 for most ML models indicates they often fail to beat the holdout mean or persistence under sparse sampling.</w:t>
      </w:r>
    </w:p>
    <w:p>
      <w:pPr>
        <w:numPr>
          <w:ilvl w:val="0"/>
          <w:numId w:val="1"/>
        </w:numPr>
      </w:pPr>
      <w:r>
        <w:t xml:space="preserve">Kalman helps because it reduces stale-lag noise without treating synthetic rows as observed targets.</w:t>
      </w:r>
    </w:p>
    <w:p>
      <w:pPr>
        <w:numPr>
          <w:ilvl w:val="0"/>
          <w:numId w:val="1"/>
        </w:numPr>
      </w:pPr>
      <w:r>
        <w:t xml:space="preserve">GAM did not dominate, possibly because location-level sparsity limits smooth temporal estimation.</w:t>
      </w:r>
    </w:p>
    <w:p>
      <w:pPr>
        <w:numPr>
          <w:ilvl w:val="0"/>
          <w:numId w:val="1"/>
        </w:numPr>
      </w:pPr>
      <w:r>
        <w:t xml:space="preserve">The study should emphasize model humility: complex models are not automatically better when observation density is low.</w:t>
      </w:r>
    </w:p>
    <w:p>
      <w:pPr>
        <w:pStyle w:val="Heading1"/>
      </w:pPr>
      <w:r>
        <w:t xml:space="preserve">8. Limitations Outline</w:t>
      </w:r>
    </w:p>
    <w:p>
      <w:pPr>
        <w:numPr>
          <w:ilvl w:val="0"/>
          <w:numId w:val="1"/>
        </w:numPr>
      </w:pPr>
      <w:r>
        <w:t xml:space="preserve">Small holdout size: 64 rows.</w:t>
      </w:r>
    </w:p>
    <w:p>
      <w:pPr>
        <w:numPr>
          <w:ilvl w:val="0"/>
          <w:numId w:val="1"/>
        </w:numPr>
      </w:pPr>
      <w:r>
        <w:t xml:space="preserve">Irregular monitoring intervals and missing months limit learnable temporal structure.</w:t>
      </w:r>
    </w:p>
    <w:p>
      <w:pPr>
        <w:numPr>
          <w:ilvl w:val="0"/>
          <w:numId w:val="1"/>
        </w:numPr>
      </w:pPr>
      <w:r>
        <w:t xml:space="preserve">Location-specific histories are short; location effects may be poorly estimated.</w:t>
      </w:r>
    </w:p>
    <w:p>
      <w:pPr>
        <w:numPr>
          <w:ilvl w:val="0"/>
          <w:numId w:val="1"/>
        </w:numPr>
      </w:pPr>
      <w:r>
        <w:t xml:space="preserve">No external hydrogeological, rainfall, land-use, or seasonal pumping covariates are currently included.</w:t>
      </w:r>
    </w:p>
    <w:p>
      <w:pPr>
        <w:numPr>
          <w:ilvl w:val="0"/>
          <w:numId w:val="1"/>
        </w:numPr>
      </w:pPr>
      <w:r>
        <w:t xml:space="preserve">Interpolated-data experiments risk overstating performance if synthetic rows are treated as real observations.</w:t>
      </w:r>
    </w:p>
    <w:p>
      <w:pPr>
        <w:pStyle w:val="Heading1"/>
      </w:pPr>
      <w:r>
        <w:t xml:space="preserve">9. Suggested Figures and Tables</w:t>
      </w:r>
    </w:p>
    <w:p>
      <w:pPr>
        <w:numPr>
          <w:ilvl w:val="0"/>
          <w:numId w:val="1"/>
        </w:numPr>
      </w:pPr>
      <w:r>
        <w:t xml:space="preserve">Figure 1: Data sparsity timeline by location or monthly observation count.</w:t>
      </w:r>
    </w:p>
    <w:p>
      <w:pPr>
        <w:numPr>
          <w:ilvl w:val="0"/>
          <w:numId w:val="1"/>
        </w:numPr>
      </w:pPr>
      <w:r>
        <w:t xml:space="preserve">Figure 2: Model workflow: raw observations -&gt; lags/Sen slope/Kalman -&gt; model families -&gt; holdout evaluation.</w:t>
      </w:r>
    </w:p>
    <w:p>
      <w:pPr>
        <w:numPr>
          <w:ilvl w:val="0"/>
          <w:numId w:val="1"/>
        </w:numPr>
      </w:pPr>
      <w:r>
        <w:t xml:space="preserve">Figure 3: Holdout RMSE bar chart across Persistence, Parameter CatBoost, GAM, DirectCatBoost, SeasonalMean, LocationMean.</w:t>
      </w:r>
    </w:p>
    <w:p>
      <w:pPr>
        <w:numPr>
          <w:ilvl w:val="0"/>
          <w:numId w:val="1"/>
        </w:numPr>
      </w:pPr>
      <w:r>
        <w:t xml:space="preserve">Table 1: Dataset summary: observed rows, feature rows, holdout rows, validation folds.</w:t>
      </w:r>
    </w:p>
    <w:p>
      <w:pPr>
        <w:numPr>
          <w:ilvl w:val="0"/>
          <w:numId w:val="1"/>
        </w:numPr>
      </w:pPr>
      <w:r>
        <w:t xml:space="preserve">Table 2: Primary holdout comparison.</w:t>
      </w:r>
    </w:p>
    <w:p>
      <w:pPr>
        <w:numPr>
          <w:ilvl w:val="0"/>
          <w:numId w:val="1"/>
        </w:numPr>
      </w:pPr>
      <w:r>
        <w:t xml:space="preserve">Table 3: Validation comparison and fold variance.</w:t>
      </w:r>
    </w:p>
    <w:p>
      <w:pPr>
        <w:numPr>
          <w:ilvl w:val="0"/>
          <w:numId w:val="1"/>
        </w:numPr>
      </w:pPr>
      <w:r>
        <w:t xml:space="preserve">Appendix Table: Interpolated experiment results with warning label.</w:t>
      </w:r>
    </w:p>
    <w:p>
      <w:pPr>
        <w:pStyle w:val="Heading1"/>
      </w:pPr>
      <w:r>
        <w:t xml:space="preserve">10. Conclusion Outline</w:t>
      </w:r>
    </w:p>
    <w:p>
      <w:pPr>
        <w:numPr>
          <w:ilvl w:val="0"/>
          <w:numId w:val="1"/>
        </w:numPr>
      </w:pPr>
      <w:r>
        <w:t xml:space="preserve">Main answer: persistence is the strongest current operational forecast for untouched holdout WQI.</w:t>
      </w:r>
    </w:p>
    <w:p>
      <w:pPr>
        <w:numPr>
          <w:ilvl w:val="0"/>
          <w:numId w:val="1"/>
        </w:numPr>
      </w:pPr>
      <w:r>
        <w:t xml:space="preserve">Best ML improvement: Kalman-filled lag features improve the parameter CatBoost forecaster but do not beat persistence.</w:t>
      </w:r>
    </w:p>
    <w:p>
      <w:pPr>
        <w:numPr>
          <w:ilvl w:val="0"/>
          <w:numId w:val="1"/>
        </w:numPr>
      </w:pPr>
      <w:r>
        <w:t xml:space="preserve">Scientific framing: data sparsity is the dominant constraint, and simple baselines must be treated as serious competitors.</w:t>
      </w:r>
    </w:p>
    <w:p>
      <w:pPr>
        <w:numPr>
          <w:ilvl w:val="0"/>
          <w:numId w:val="1"/>
        </w:numPr>
      </w:pPr>
      <w:r>
        <w:t xml:space="preserve">Future work: add external covariates, test calibrated persistence-CatBoost blending, and evaluate with more observed holdout months.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before="0" w:after="160"/>
    </w:pPr>
    <w:rPr>
      <w:b/>
      <w:rFonts w:ascii="Calibri" w:hAnsi="Calibri"/>
      <w:sz w:val="32"/>
      <w:color w:val="0B2545"/>
    </w:rPr>
  </w:style>
  <w:style w:type="paragraph" w:styleId="Subtitle">
    <w:name w:val="Subtitle"/>
    <w:basedOn w:val="Normal"/>
    <w:pPr>
      <w:spacing w:after="200"/>
    </w:pPr>
    <w:rPr>
      <w:i/>
      <w:sz w:val="21"/>
      <w:color w:val="555555"/>
    </w:rPr>
  </w:style>
  <w:style w:type="paragraph" w:styleId="Heading1">
    <w:name w:val="heading 1"/>
    <w:basedOn w:val="Normal"/>
    <w:pPr>
      <w:keepNext/>
      <w:spacing w:before="360" w:after="200"/>
      <w:outlineLvl w:val="0"/>
    </w:pPr>
    <w:rPr>
      <w:b/>
      <w:sz w:val="32"/>
      <w:color w:val="2E74B5"/>
    </w:rPr>
  </w:style>
  <w:style w:type="paragraph" w:styleId="Heading2">
    <w:name w:val="heading 2"/>
    <w:basedOn w:val="Normal"/>
    <w:pPr>
      <w:keepNext/>
      <w:spacing w:before="280" w:after="140"/>
      <w:outlineLvl w:val="1"/>
    </w:pPr>
    <w:rPr>
      <w:b/>
      <w:sz w:val="26"/>
      <w:color w:val="2E74B5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