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Arial" w:hAnsi="Arial"/>
          <w:b/>
          <w:color w:val="1F497D"/>
          <w:sz w:val="40"/>
        </w:rPr>
        <w:t>RESEARCH PAPER OUTLINE &amp; FINDINGS SUMMARY</w:t>
      </w:r>
    </w:p>
    <w:p>
      <w:pPr>
        <w:spacing w:after="360"/>
        <w:jc w:val="center"/>
      </w:pPr>
      <w:r>
        <w:rPr>
          <w:rFonts w:ascii="Arial" w:hAnsi="Arial"/>
          <w:i/>
          <w:color w:val="595959"/>
          <w:sz w:val="24"/>
        </w:rPr>
        <w:t>Spatio-Temporal Water Quality Index (WQI) Prediction &amp; Multi-Step Parameter Forecasting</w:t>
        <w:br/>
        <w:t>in Salem Block, Salem District, Tamil Nadu</w:t>
      </w:r>
    </w:p>
    <w:p>
      <w:pPr>
        <w:spacing w:before="120" w:after="360"/>
        <w:jc w:val="left"/>
      </w:pPr>
      <w:r>
        <w:rPr>
          <w:b/>
        </w:rPr>
        <w:t xml:space="preserve">Date: </w:t>
      </w:r>
      <w:r>
        <w:t>July 1, 2026</w:t>
        <w:br/>
      </w:r>
      <w:r>
        <w:rPr>
          <w:b/>
        </w:rPr>
        <w:t xml:space="preserve">Repository Context: </w:t>
      </w:r>
      <w:r>
        <w:t>Mohit-Talgotra/WQI_Research_VIT</w:t>
        <w:br/>
      </w:r>
      <w:r>
        <w:rPr>
          <w:b/>
        </w:rPr>
        <w:t xml:space="preserve">Objective: </w:t>
      </w:r>
      <w:r>
        <w:t>Revised research paper outline synthesizing spatiotemporal predictions, multi-step parameter forecasting, and trend analysis under observational sparsity.</w:t>
      </w:r>
    </w:p>
    <w:p>
      <w:pPr>
        <w:spacing w:after="240"/>
        <w:jc w:val="center"/>
      </w:pPr>
      <w:r>
        <w:rPr>
          <w:color w:val="C0C0C0"/>
        </w:rPr>
        <w:t>——————————————————————————————————————————————————</w:t>
      </w:r>
    </w:p>
    <w:p>
      <w:pPr>
        <w:pStyle w:val="Heading1"/>
        <w:keepNext/>
        <w:spacing w:before="240" w:after="120"/>
      </w:pPr>
      <w:r>
        <w:rPr>
          <w:rFonts w:ascii="Arial" w:hAnsi="Arial"/>
          <w:b/>
          <w:color w:val="1F497D"/>
          <w:sz w:val="28"/>
        </w:rPr>
        <w:t>Abstract</w:t>
      </w:r>
    </w:p>
    <w:p>
      <w:r>
        <w:rPr>
          <w:b/>
        </w:rPr>
        <w:t xml:space="preserve">• Background: </w:t>
      </w:r>
      <w:r>
        <w:t>Accurate Water Quality Index (WQI) modeling is essential for groundwater management. However, environmental monitoring databases are often plagued by extreme spatial and temporal sparsity, which challenges standard machine learning methods.</w:t>
      </w:r>
    </w:p>
    <w:p>
      <w:r>
        <w:rPr>
          <w:b/>
        </w:rPr>
        <w:t xml:space="preserve">• Objectives: </w:t>
      </w:r>
      <w:r>
        <w:t>This study evaluates (1) the spatiotemporal generalization of machine learning models across 14 monitoring locations, and (2) compares a parameter-first multi-step forecasting model (forecasting chemical parameters individually and recomputing WQI) against direct WQI forecasting.</w:t>
      </w:r>
    </w:p>
    <w:p>
      <w:r>
        <w:rPr>
          <w:b/>
        </w:rPr>
        <w:t xml:space="preserve">• Methods: </w:t>
      </w:r>
      <w:r>
        <w:t>We utilize a monthly panel dataset from Salem Block, Tamil Nadu. Due to high data sparsity (17.87% temporal coverage), missing values were imputed using Kalman-filter smoothing on state-space models alongside linear and spline interpolations. Spatiotemporal generalization is assessed using Leave-One-Location-Out (LOGO) cross-validation and a strict 2024 temporal holdout. Forecasting performance is evaluated on a 2025 holdout against a naive persistence baseline.</w:t>
      </w:r>
    </w:p>
    <w:p>
      <w:r>
        <w:rPr>
          <w:b/>
        </w:rPr>
        <w:t xml:space="preserve">• Key Findings: </w:t>
      </w:r>
      <w:r>
        <w:t>In spatial generalization, tree-based models achieve moderate performance (Gradient Boosting pooled R² = 0.838, Random Forest pooled R² = 0.730). SHAP analysis highlights Fluoride (mean |SHAP| = 33.26) as the dominant driver of predicted WQI. In temporal forecasting, a parameter-first CatBoost model (RMSE = 13.42) modestly outperforms direct WQI forecasting (RMSE = 14.92). Crucially, under extreme observational sparsity, no tested ML model outperforms a naive persistence baseline (RMSE = 12.18, R² = 0.15), representing a critical policy constraint.</w:t>
      </w:r>
    </w:p>
    <w:p>
      <w:pPr>
        <w:pStyle w:val="Heading1"/>
        <w:keepNext/>
        <w:spacing w:before="240" w:after="120"/>
      </w:pPr>
      <w:r>
        <w:rPr>
          <w:rFonts w:ascii="Arial" w:hAnsi="Arial"/>
          <w:b/>
          <w:color w:val="1F497D"/>
          <w:sz w:val="28"/>
        </w:rPr>
        <w:t>1. Introduction</w:t>
      </w:r>
    </w:p>
    <w:p>
      <w:r>
        <w:t>• Environmental Context: Groundwater is the primary source of drinking and agricultural water in Salem Block, Tamil Nadu. Anthropogenic and geological factors heavily influence local water chemistry.</w:t>
      </w:r>
    </w:p>
    <w:p>
      <w:r>
        <w:t>• The Water Quality Index (WQI): WQI simplifies multi-parameter water chemistry into a single metric. However, modeling the composite index directly masks individual parameter trends and violates the formula's mathematical structure.</w:t>
      </w:r>
    </w:p>
    <w:p>
      <w:r>
        <w:t>• The Sparsity Challenge: Environmental datasets in developing regions suffer from significant missing data (only 17.87% data density in this study), making standard time-series models prone to overfitting.</w:t>
      </w:r>
    </w:p>
    <w:p>
      <w:r>
        <w:t>• Research Objectives:</w:t>
      </w:r>
    </w:p>
    <w:p>
      <w:r>
        <w:t xml:space="preserve">  1. Evaluate spatial generalization of ML models using Leave-One-Location-Out validation.</w:t>
      </w:r>
    </w:p>
    <w:p>
      <w:r>
        <w:t xml:space="preserve">  2. Compare direct composite WQI forecasting against a parameter-first forecasting pipeline.</w:t>
      </w:r>
    </w:p>
    <w:p>
      <w:r>
        <w:t xml:space="preserve">  3. Critically evaluate ML model performance against naive baselines under severe observational sparsity.</w:t>
      </w:r>
    </w:p>
    <w:p>
      <w:pPr>
        <w:pStyle w:val="Heading1"/>
        <w:keepNext/>
        <w:spacing w:before="240" w:after="120"/>
      </w:pPr>
      <w:r>
        <w:rPr>
          <w:rFonts w:ascii="Arial" w:hAnsi="Arial"/>
          <w:b/>
          <w:color w:val="1F497D"/>
          <w:sz w:val="28"/>
        </w:rPr>
        <w:t>2. Related Work</w:t>
      </w:r>
    </w:p>
    <w:p>
      <w:r>
        <w:t>• Traditional WQI Formulations: Review of the weighted arithmetic index and its mathematical dependencies on chemical parameters.</w:t>
      </w:r>
    </w:p>
    <w:p>
      <w:r>
        <w:t>• Machine Learning in WQI Prediction: Survey of previous literature using Random Forest, XGBoost, and Support Vector Machines to predict WQI. Note that most studies evaluate models on simple random train/test splits, which leads to overoptimistic performance due to spatial autocorrelation.</w:t>
      </w:r>
    </w:p>
    <w:p>
      <w:r>
        <w:t>• Time-Series Forecasting of Environmental Data: Discussion of state-space models, ARIMA, and modern panel regression. Highlight the gap in existing research regarding multi-step parameter-first forecasting under severe missing data constraints.</w:t>
      </w:r>
    </w:p>
    <w:p>
      <w:r>
        <w:t>• The Research Gap: Lack of rigorous spatiotemporal validation (e.g., LOGO) and the absence of naive baseline comparisons (such as Persistence) in environmental ML papers, leading to over-reported model utility.</w:t>
      </w:r>
    </w:p>
    <w:p>
      <w:pPr>
        <w:pStyle w:val="Heading1"/>
        <w:keepNext/>
        <w:spacing w:before="240" w:after="120"/>
      </w:pPr>
      <w:r>
        <w:rPr>
          <w:rFonts w:ascii="Arial" w:hAnsi="Arial"/>
          <w:b/>
          <w:color w:val="1F497D"/>
          <w:sz w:val="28"/>
        </w:rPr>
        <w:t>3. Methodology</w:t>
      </w:r>
    </w:p>
    <w:p>
      <w:pPr>
        <w:pStyle w:val="Heading2"/>
        <w:keepNext/>
        <w:spacing w:before="240" w:after="120"/>
      </w:pPr>
      <w:r>
        <w:rPr>
          <w:rFonts w:ascii="Arial" w:hAnsi="Arial"/>
          <w:b/>
          <w:color w:val="595959"/>
          <w:sz w:val="24"/>
        </w:rPr>
        <w:t>3.1. Study Area &amp; Dataset Characteristics</w:t>
      </w:r>
    </w:p>
    <w:p>
      <w:r>
        <w:t>• Data Source: Ground monitoring water quality records from 14 locations in Salem Block, Salem District, Tamil Nadu.</w:t>
      </w:r>
    </w:p>
    <w:p>
      <w:r>
        <w:t>• Temporal Coverage &amp; Sparsity: Monthly series from 2022 to 2025. The raw dataset contains severe observational sparsity, with only 17.87% coverage (825 actual observations out of 4,700 potential monthly location-parameter points). The median number of observations per location series is 9.</w:t>
      </w:r>
    </w:p>
    <w:p>
      <w:r>
        <w:t>• Water Quality Parameters: 8 chemical parameters: pH, Total Dissolved Solids (TDS), Total Hardness, Chloride (Cl), Fluoride (F), Total Alkalinity, Sulphate, Nitrate.</w:t>
      </w:r>
    </w:p>
    <w:p>
      <w:pPr>
        <w:pStyle w:val="Heading2"/>
        <w:keepNext/>
        <w:spacing w:before="240" w:after="120"/>
      </w:pPr>
      <w:r>
        <w:rPr>
          <w:rFonts w:ascii="Arial" w:hAnsi="Arial"/>
          <w:b/>
          <w:color w:val="595959"/>
          <w:sz w:val="24"/>
        </w:rPr>
        <w:t>3.2. Data Preprocessing &amp; Imputation</w:t>
      </w:r>
    </w:p>
    <w:p>
      <w:r>
        <w:t>• Imputation Framework: To reconstruct a regular monthly grid, three imputation methods were tested:</w:t>
      </w:r>
    </w:p>
    <w:p>
      <w:r>
        <w:t xml:space="preserve">  1. Linear Interpolation: Standard linear connection between observed points.</w:t>
      </w:r>
    </w:p>
    <w:p>
      <w:r>
        <w:t xml:space="preserve">  2. Spline Interpolation: Piecewise cubic spline interpolation for smoother transitions.</w:t>
      </w:r>
    </w:p>
    <w:p>
      <w:r>
        <w:t xml:space="preserve">  3. Kalman-Filter Imputation: State-space modeling using Unobserved Components to smooth and impute monthly sequences.</w:t>
      </w:r>
    </w:p>
    <w:p>
      <w:pPr>
        <w:pStyle w:val="Heading2"/>
        <w:keepNext/>
        <w:spacing w:before="240" w:after="120"/>
      </w:pPr>
      <w:r>
        <w:rPr>
          <w:rFonts w:ascii="Arial" w:hAnsi="Arial"/>
          <w:b/>
          <w:color w:val="595959"/>
          <w:sz w:val="24"/>
        </w:rPr>
        <w:t>3.3. WQI Computation &amp; Constraints</w:t>
      </w:r>
    </w:p>
    <w:p>
      <w:r>
        <w:t>• Weighted Arithmetic Index Method: WQI is calculated using parameter standards (pH=8.5, TDS=500, Hardness=200, Cl=250, F=1.0, Alkalinity=200, Sulphate=200, Nitrate=45).</w:t>
      </w:r>
    </w:p>
    <w:p>
      <w:r>
        <w:t>• Formula: WQI = Σ (Q_n * W_n) / Σ W_n, where Q_n is the sub-index for parameter n, and W_n is its weight.</w:t>
      </w:r>
    </w:p>
    <w:p>
      <w:r>
        <w:t>• Sub-Index Clipping: To prevent extreme individual parameter outliers from destabilizing the ML models during forecasting, sub-indices were clipped at 300%.</w:t>
      </w:r>
    </w:p>
    <w:p>
      <w:pPr>
        <w:pStyle w:val="Heading2"/>
        <w:keepNext/>
        <w:spacing w:before="240" w:after="120"/>
      </w:pPr>
      <w:r>
        <w:rPr>
          <w:rFonts w:ascii="Arial" w:hAnsi="Arial"/>
          <w:b/>
          <w:color w:val="595959"/>
          <w:sz w:val="24"/>
        </w:rPr>
        <w:t>3.4. Evaluation Framework</w:t>
      </w:r>
    </w:p>
    <w:p>
      <w:r>
        <w:t>• Spatial Generalization (LOGO): Leave-One-Location-Out cross-validation to assess how well models predict WQI at unseen monitoring stations.</w:t>
      </w:r>
    </w:p>
    <w:p>
      <w:r>
        <w:t>• Temporal Holdout: Training on 2022-2023 data and testing on the 2024 holdout to test generalization under temporal drift.</w:t>
      </w:r>
    </w:p>
    <w:p>
      <w:r>
        <w:t>• Forecasting Validation: A 2025 holdout period (64 samples) to test multi-step forecasting models against naive baselines.</w:t>
      </w:r>
    </w:p>
    <w:p>
      <w:r>
        <w:t>• Baselines Evaluated:</w:t>
      </w:r>
    </w:p>
    <w:p>
      <w:r>
        <w:t xml:space="preserve">  - Naive Persistence: Predicts the last observed value for the location.</w:t>
      </w:r>
    </w:p>
    <w:p>
      <w:r>
        <w:t xml:space="preserve">  - Seasonal Mean: Predicts the historical average for the corresponding calendar month.</w:t>
      </w:r>
    </w:p>
    <w:p>
      <w:r>
        <w:t xml:space="preserve">  - Location Mean: Predicts the historical average of the specific location.</w:t>
      </w:r>
    </w:p>
    <w:p>
      <w:pPr>
        <w:pStyle w:val="Heading1"/>
        <w:keepNext/>
        <w:spacing w:before="240" w:after="120"/>
      </w:pPr>
      <w:r>
        <w:rPr>
          <w:rFonts w:ascii="Arial" w:hAnsi="Arial"/>
          <w:b/>
          <w:color w:val="1F497D"/>
          <w:sz w:val="28"/>
        </w:rPr>
        <w:t>4. Statistical &amp; Trend Analysis Results</w:t>
      </w:r>
    </w:p>
    <w:p>
      <w:r>
        <w:t>• Mann-Kendall Trend Results: A global Mann-Kendall trend analysis shows statistically significant decreasing trends for TDS, Hardness, Chloride, Fluoride, Alkalinity, Sulphate, Nitrate, and WQI. However, the apparent significance is highly sensitive to the imputation method.</w:t>
      </w:r>
    </w:p>
    <w:p>
      <w:r>
        <w:t>Table 1: Global Mann-Kendall Trend Results (Original vs. Interpolated Monthly Series)</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1F497D"/>
          </w:tcPr>
          <w:p>
            <w:r>
              <w:rPr>
                <w:b/>
                <w:color w:val="FFFFFF"/>
                <w:sz w:val="19"/>
              </w:rPr>
              <w:t>Parameter</w:t>
            </w:r>
          </w:p>
        </w:tc>
        <w:tc>
          <w:tcPr>
            <w:tcW w:type="dxa" w:w="1337"/>
            <w:shd w:val="clear" w:color="auto" w:fill="1F497D"/>
          </w:tcPr>
          <w:p>
            <w:r>
              <w:rPr>
                <w:b/>
                <w:color w:val="FFFFFF"/>
                <w:sz w:val="19"/>
              </w:rPr>
              <w:t>Trend (Orig)</w:t>
            </w:r>
          </w:p>
        </w:tc>
        <w:tc>
          <w:tcPr>
            <w:tcW w:type="dxa" w:w="1337"/>
            <w:shd w:val="clear" w:color="auto" w:fill="1F497D"/>
          </w:tcPr>
          <w:p>
            <w:r>
              <w:rPr>
                <w:b/>
                <w:color w:val="FFFFFF"/>
                <w:sz w:val="19"/>
              </w:rPr>
              <w:t>p-val (Orig)</w:t>
            </w:r>
          </w:p>
        </w:tc>
        <w:tc>
          <w:tcPr>
            <w:tcW w:type="dxa" w:w="1337"/>
            <w:shd w:val="clear" w:color="auto" w:fill="1F497D"/>
          </w:tcPr>
          <w:p>
            <w:r>
              <w:rPr>
                <w:b/>
                <w:color w:val="FFFFFF"/>
                <w:sz w:val="19"/>
              </w:rPr>
              <w:t>Trend (Lin)</w:t>
            </w:r>
          </w:p>
        </w:tc>
        <w:tc>
          <w:tcPr>
            <w:tcW w:type="dxa" w:w="1337"/>
            <w:shd w:val="clear" w:color="auto" w:fill="1F497D"/>
          </w:tcPr>
          <w:p>
            <w:r>
              <w:rPr>
                <w:b/>
                <w:color w:val="FFFFFF"/>
                <w:sz w:val="19"/>
              </w:rPr>
              <w:t>p-val (Lin)</w:t>
            </w:r>
          </w:p>
        </w:tc>
        <w:tc>
          <w:tcPr>
            <w:tcW w:type="dxa" w:w="1337"/>
            <w:shd w:val="clear" w:color="auto" w:fill="1F497D"/>
          </w:tcPr>
          <w:p>
            <w:r>
              <w:rPr>
                <w:b/>
                <w:color w:val="FFFFFF"/>
                <w:sz w:val="19"/>
              </w:rPr>
              <w:t>Trend (Spline)</w:t>
            </w:r>
          </w:p>
        </w:tc>
        <w:tc>
          <w:tcPr>
            <w:tcW w:type="dxa" w:w="1337"/>
            <w:shd w:val="clear" w:color="auto" w:fill="1F497D"/>
          </w:tcPr>
          <w:p>
            <w:r>
              <w:rPr>
                <w:b/>
                <w:color w:val="FFFFFF"/>
                <w:sz w:val="19"/>
              </w:rPr>
              <w:t>p-val (Spline)</w:t>
            </w:r>
          </w:p>
        </w:tc>
      </w:tr>
      <w:tr>
        <w:tc>
          <w:tcPr>
            <w:tcW w:type="dxa" w:w="1337"/>
          </w:tcPr>
          <w:p>
            <w:r>
              <w:rPr>
                <w:sz w:val="18"/>
              </w:rPr>
              <w:t>pH_mean</w:t>
            </w:r>
          </w:p>
        </w:tc>
        <w:tc>
          <w:tcPr>
            <w:tcW w:type="dxa" w:w="1337"/>
          </w:tcPr>
          <w:p>
            <w:r>
              <w:rPr>
                <w:sz w:val="18"/>
              </w:rPr>
              <w:t>no trend</w:t>
            </w:r>
          </w:p>
        </w:tc>
        <w:tc>
          <w:tcPr>
            <w:tcW w:type="dxa" w:w="1337"/>
          </w:tcPr>
          <w:p>
            <w:r>
              <w:rPr>
                <w:sz w:val="18"/>
              </w:rPr>
              <w:t>0.056</w:t>
            </w:r>
          </w:p>
        </w:tc>
        <w:tc>
          <w:tcPr>
            <w:tcW w:type="dxa" w:w="1337"/>
          </w:tcPr>
          <w:p>
            <w:r>
              <w:rPr>
                <w:sz w:val="18"/>
              </w:rPr>
              <w:t>no trend</w:t>
            </w:r>
          </w:p>
        </w:tc>
        <w:tc>
          <w:tcPr>
            <w:tcW w:type="dxa" w:w="1337"/>
          </w:tcPr>
          <w:p>
            <w:r>
              <w:rPr>
                <w:sz w:val="18"/>
              </w:rPr>
              <w:t>0.313</w:t>
            </w:r>
          </w:p>
        </w:tc>
        <w:tc>
          <w:tcPr>
            <w:tcW w:type="dxa" w:w="1337"/>
          </w:tcPr>
          <w:p>
            <w:r>
              <w:rPr>
                <w:sz w:val="18"/>
              </w:rPr>
              <w:t>increasing</w:t>
            </w:r>
          </w:p>
        </w:tc>
        <w:tc>
          <w:tcPr>
            <w:tcW w:type="dxa" w:w="1337"/>
          </w:tcPr>
          <w:p>
            <w:r>
              <w:rPr>
                <w:sz w:val="18"/>
              </w:rPr>
              <w:t>&lt;0.001</w:t>
            </w:r>
          </w:p>
        </w:tc>
      </w:tr>
      <w:tr>
        <w:tc>
          <w:tcPr>
            <w:tcW w:type="dxa" w:w="1337"/>
          </w:tcPr>
          <w:p>
            <w:r>
              <w:rPr>
                <w:sz w:val="18"/>
              </w:rPr>
              <w:t>TDS_mean</w:t>
            </w:r>
          </w:p>
        </w:tc>
        <w:tc>
          <w:tcPr>
            <w:tcW w:type="dxa" w:w="1337"/>
          </w:tcPr>
          <w:p>
            <w:r>
              <w:rPr>
                <w:sz w:val="18"/>
              </w:rPr>
              <w:t>decreasing</w:t>
            </w:r>
          </w:p>
        </w:tc>
        <w:tc>
          <w:tcPr>
            <w:tcW w:type="dxa" w:w="1337"/>
          </w:tcPr>
          <w:p>
            <w:r>
              <w:rPr>
                <w:sz w:val="18"/>
              </w:rPr>
              <w:t>&lt;0.001</w:t>
            </w:r>
          </w:p>
        </w:tc>
        <w:tc>
          <w:tcPr>
            <w:tcW w:type="dxa" w:w="1337"/>
          </w:tcPr>
          <w:p>
            <w:r>
              <w:rPr>
                <w:sz w:val="18"/>
              </w:rPr>
              <w:t>decreasing</w:t>
            </w:r>
          </w:p>
        </w:tc>
        <w:tc>
          <w:tcPr>
            <w:tcW w:type="dxa" w:w="1337"/>
          </w:tcPr>
          <w:p>
            <w:r>
              <w:rPr>
                <w:sz w:val="18"/>
              </w:rPr>
              <w:t>&lt;0.001</w:t>
            </w:r>
          </w:p>
        </w:tc>
        <w:tc>
          <w:tcPr>
            <w:tcW w:type="dxa" w:w="1337"/>
          </w:tcPr>
          <w:p>
            <w:r>
              <w:rPr>
                <w:sz w:val="18"/>
              </w:rPr>
              <w:t>decreasing</w:t>
            </w:r>
          </w:p>
        </w:tc>
        <w:tc>
          <w:tcPr>
            <w:tcW w:type="dxa" w:w="1337"/>
          </w:tcPr>
          <w:p>
            <w:r>
              <w:rPr>
                <w:sz w:val="18"/>
              </w:rPr>
              <w:t>&lt;0.001</w:t>
            </w:r>
          </w:p>
        </w:tc>
      </w:tr>
      <w:tr>
        <w:tc>
          <w:tcPr>
            <w:tcW w:type="dxa" w:w="1337"/>
          </w:tcPr>
          <w:p>
            <w:r>
              <w:rPr>
                <w:sz w:val="18"/>
              </w:rPr>
              <w:t>Hardness</w:t>
            </w:r>
          </w:p>
        </w:tc>
        <w:tc>
          <w:tcPr>
            <w:tcW w:type="dxa" w:w="1337"/>
          </w:tcPr>
          <w:p>
            <w:r>
              <w:rPr>
                <w:sz w:val="18"/>
              </w:rPr>
              <w:t>decreasing</w:t>
            </w:r>
          </w:p>
        </w:tc>
        <w:tc>
          <w:tcPr>
            <w:tcW w:type="dxa" w:w="1337"/>
          </w:tcPr>
          <w:p>
            <w:r>
              <w:rPr>
                <w:sz w:val="18"/>
              </w:rPr>
              <w:t>&lt;0.001</w:t>
            </w:r>
          </w:p>
        </w:tc>
        <w:tc>
          <w:tcPr>
            <w:tcW w:type="dxa" w:w="1337"/>
          </w:tcPr>
          <w:p>
            <w:r>
              <w:rPr>
                <w:sz w:val="18"/>
              </w:rPr>
              <w:t>decreasing</w:t>
            </w:r>
          </w:p>
        </w:tc>
        <w:tc>
          <w:tcPr>
            <w:tcW w:type="dxa" w:w="1337"/>
          </w:tcPr>
          <w:p>
            <w:r>
              <w:rPr>
                <w:sz w:val="18"/>
              </w:rPr>
              <w:t>&lt;0.001</w:t>
            </w:r>
          </w:p>
        </w:tc>
        <w:tc>
          <w:tcPr>
            <w:tcW w:type="dxa" w:w="1337"/>
          </w:tcPr>
          <w:p>
            <w:r>
              <w:rPr>
                <w:sz w:val="18"/>
              </w:rPr>
              <w:t>decreasing</w:t>
            </w:r>
          </w:p>
        </w:tc>
        <w:tc>
          <w:tcPr>
            <w:tcW w:type="dxa" w:w="1337"/>
          </w:tcPr>
          <w:p>
            <w:r>
              <w:rPr>
                <w:sz w:val="18"/>
              </w:rPr>
              <w:t>&lt;0.001</w:t>
            </w:r>
          </w:p>
        </w:tc>
      </w:tr>
      <w:tr>
        <w:tc>
          <w:tcPr>
            <w:tcW w:type="dxa" w:w="1337"/>
          </w:tcPr>
          <w:p>
            <w:r>
              <w:rPr>
                <w:sz w:val="18"/>
              </w:rPr>
              <w:t>Chloride</w:t>
            </w:r>
          </w:p>
        </w:tc>
        <w:tc>
          <w:tcPr>
            <w:tcW w:type="dxa" w:w="1337"/>
          </w:tcPr>
          <w:p>
            <w:r>
              <w:rPr>
                <w:sz w:val="18"/>
              </w:rPr>
              <w:t>decreasing</w:t>
            </w:r>
          </w:p>
        </w:tc>
        <w:tc>
          <w:tcPr>
            <w:tcW w:type="dxa" w:w="1337"/>
          </w:tcPr>
          <w:p>
            <w:r>
              <w:rPr>
                <w:sz w:val="18"/>
              </w:rPr>
              <w:t>&lt;0.001</w:t>
            </w:r>
          </w:p>
        </w:tc>
        <w:tc>
          <w:tcPr>
            <w:tcW w:type="dxa" w:w="1337"/>
          </w:tcPr>
          <w:p>
            <w:r>
              <w:rPr>
                <w:sz w:val="18"/>
              </w:rPr>
              <w:t>decreasing</w:t>
            </w:r>
          </w:p>
        </w:tc>
        <w:tc>
          <w:tcPr>
            <w:tcW w:type="dxa" w:w="1337"/>
          </w:tcPr>
          <w:p>
            <w:r>
              <w:rPr>
                <w:sz w:val="18"/>
              </w:rPr>
              <w:t>&lt;0.001</w:t>
            </w:r>
          </w:p>
        </w:tc>
        <w:tc>
          <w:tcPr>
            <w:tcW w:type="dxa" w:w="1337"/>
          </w:tcPr>
          <w:p>
            <w:r>
              <w:rPr>
                <w:sz w:val="18"/>
              </w:rPr>
              <w:t>decreasing</w:t>
            </w:r>
          </w:p>
        </w:tc>
        <w:tc>
          <w:tcPr>
            <w:tcW w:type="dxa" w:w="1337"/>
          </w:tcPr>
          <w:p>
            <w:r>
              <w:rPr>
                <w:sz w:val="18"/>
              </w:rPr>
              <w:t>&lt;0.001</w:t>
            </w:r>
          </w:p>
        </w:tc>
      </w:tr>
      <w:tr>
        <w:tc>
          <w:tcPr>
            <w:tcW w:type="dxa" w:w="1337"/>
          </w:tcPr>
          <w:p>
            <w:r>
              <w:rPr>
                <w:sz w:val="18"/>
              </w:rPr>
              <w:t>Fluoride</w:t>
            </w:r>
          </w:p>
        </w:tc>
        <w:tc>
          <w:tcPr>
            <w:tcW w:type="dxa" w:w="1337"/>
          </w:tcPr>
          <w:p>
            <w:r>
              <w:rPr>
                <w:sz w:val="18"/>
              </w:rPr>
              <w:t>decreasing</w:t>
            </w:r>
          </w:p>
        </w:tc>
        <w:tc>
          <w:tcPr>
            <w:tcW w:type="dxa" w:w="1337"/>
          </w:tcPr>
          <w:p>
            <w:r>
              <w:rPr>
                <w:sz w:val="18"/>
              </w:rPr>
              <w:t>&lt;0.001</w:t>
            </w:r>
          </w:p>
        </w:tc>
        <w:tc>
          <w:tcPr>
            <w:tcW w:type="dxa" w:w="1337"/>
          </w:tcPr>
          <w:p>
            <w:r>
              <w:rPr>
                <w:sz w:val="18"/>
              </w:rPr>
              <w:t>decreasing</w:t>
            </w:r>
          </w:p>
        </w:tc>
        <w:tc>
          <w:tcPr>
            <w:tcW w:type="dxa" w:w="1337"/>
          </w:tcPr>
          <w:p>
            <w:r>
              <w:rPr>
                <w:sz w:val="18"/>
              </w:rPr>
              <w:t>&lt;0.001</w:t>
            </w:r>
          </w:p>
        </w:tc>
        <w:tc>
          <w:tcPr>
            <w:tcW w:type="dxa" w:w="1337"/>
          </w:tcPr>
          <w:p>
            <w:r>
              <w:rPr>
                <w:sz w:val="18"/>
              </w:rPr>
              <w:t>decreasing</w:t>
            </w:r>
          </w:p>
        </w:tc>
        <w:tc>
          <w:tcPr>
            <w:tcW w:type="dxa" w:w="1337"/>
          </w:tcPr>
          <w:p>
            <w:r>
              <w:rPr>
                <w:sz w:val="18"/>
              </w:rPr>
              <w:t>&lt;0.001</w:t>
            </w:r>
          </w:p>
        </w:tc>
      </w:tr>
      <w:tr>
        <w:tc>
          <w:tcPr>
            <w:tcW w:type="dxa" w:w="1337"/>
          </w:tcPr>
          <w:p>
            <w:r>
              <w:rPr>
                <w:sz w:val="18"/>
              </w:rPr>
              <w:t>Alkalinity</w:t>
            </w:r>
          </w:p>
        </w:tc>
        <w:tc>
          <w:tcPr>
            <w:tcW w:type="dxa" w:w="1337"/>
          </w:tcPr>
          <w:p>
            <w:r>
              <w:rPr>
                <w:sz w:val="18"/>
              </w:rPr>
              <w:t>decreasing</w:t>
            </w:r>
          </w:p>
        </w:tc>
        <w:tc>
          <w:tcPr>
            <w:tcW w:type="dxa" w:w="1337"/>
          </w:tcPr>
          <w:p>
            <w:r>
              <w:rPr>
                <w:sz w:val="18"/>
              </w:rPr>
              <w:t>&lt;0.001</w:t>
            </w:r>
          </w:p>
        </w:tc>
        <w:tc>
          <w:tcPr>
            <w:tcW w:type="dxa" w:w="1337"/>
          </w:tcPr>
          <w:p>
            <w:r>
              <w:rPr>
                <w:sz w:val="18"/>
              </w:rPr>
              <w:t>decreasing</w:t>
            </w:r>
          </w:p>
        </w:tc>
        <w:tc>
          <w:tcPr>
            <w:tcW w:type="dxa" w:w="1337"/>
          </w:tcPr>
          <w:p>
            <w:r>
              <w:rPr>
                <w:sz w:val="18"/>
              </w:rPr>
              <w:t>&lt;0.001</w:t>
            </w:r>
          </w:p>
        </w:tc>
        <w:tc>
          <w:tcPr>
            <w:tcW w:type="dxa" w:w="1337"/>
          </w:tcPr>
          <w:p>
            <w:r>
              <w:rPr>
                <w:sz w:val="18"/>
              </w:rPr>
              <w:t>decreasing</w:t>
            </w:r>
          </w:p>
        </w:tc>
        <w:tc>
          <w:tcPr>
            <w:tcW w:type="dxa" w:w="1337"/>
          </w:tcPr>
          <w:p>
            <w:r>
              <w:rPr>
                <w:sz w:val="18"/>
              </w:rPr>
              <w:t>&lt;0.001</w:t>
            </w:r>
          </w:p>
        </w:tc>
      </w:tr>
      <w:tr>
        <w:tc>
          <w:tcPr>
            <w:tcW w:type="dxa" w:w="1337"/>
          </w:tcPr>
          <w:p>
            <w:r>
              <w:rPr>
                <w:sz w:val="18"/>
              </w:rPr>
              <w:t>WQI_mean</w:t>
            </w:r>
          </w:p>
        </w:tc>
        <w:tc>
          <w:tcPr>
            <w:tcW w:type="dxa" w:w="1337"/>
          </w:tcPr>
          <w:p>
            <w:r>
              <w:rPr>
                <w:sz w:val="18"/>
              </w:rPr>
              <w:t>decreasing</w:t>
            </w:r>
          </w:p>
        </w:tc>
        <w:tc>
          <w:tcPr>
            <w:tcW w:type="dxa" w:w="1337"/>
          </w:tcPr>
          <w:p>
            <w:r>
              <w:rPr>
                <w:sz w:val="18"/>
              </w:rPr>
              <w:t>&lt;0.001</w:t>
            </w:r>
          </w:p>
        </w:tc>
        <w:tc>
          <w:tcPr>
            <w:tcW w:type="dxa" w:w="1337"/>
          </w:tcPr>
          <w:p>
            <w:r>
              <w:rPr>
                <w:sz w:val="18"/>
              </w:rPr>
              <w:t>decreasing</w:t>
            </w:r>
          </w:p>
        </w:tc>
        <w:tc>
          <w:tcPr>
            <w:tcW w:type="dxa" w:w="1337"/>
          </w:tcPr>
          <w:p>
            <w:r>
              <w:rPr>
                <w:sz w:val="18"/>
              </w:rPr>
              <w:t>&lt;0.001</w:t>
            </w:r>
          </w:p>
        </w:tc>
        <w:tc>
          <w:tcPr>
            <w:tcW w:type="dxa" w:w="1337"/>
          </w:tcPr>
          <w:p>
            <w:r>
              <w:rPr>
                <w:sz w:val="18"/>
              </w:rPr>
              <w:t>decreasing</w:t>
            </w:r>
          </w:p>
        </w:tc>
        <w:tc>
          <w:tcPr>
            <w:tcW w:type="dxa" w:w="1337"/>
          </w:tcPr>
          <w:p>
            <w:r>
              <w:rPr>
                <w:sz w:val="18"/>
              </w:rPr>
              <w:t>&lt;0.001</w:t>
            </w:r>
          </w:p>
        </w:tc>
      </w:tr>
    </w:tbl>
    <w:p>
      <w:r>
        <w:t>• Imputation Disclosure &amp; Bias: Running trend tests on interpolated datasets (Linear or Spline) artificially inflates the statistical significance (p-values drop, z-stats rise). This occurs because interpolation algorithms generate smooth, noise-free observations between distant real measurements, underestimating variance and violating the Mann-Kendall independence assumption.</w:t>
      </w:r>
    </w:p>
    <w:p>
      <w:r>
        <w:t>• Mixed-Effects Temporal Models: A mixed-effects model confirms the decreasing temporal trend, yielding a statistically significant negative coefficient for Decimal_Year on WQI (-10.40 units/year, p &lt; 0.001) and TDS (-152.40 mg/L/year, p &lt; 0.001), indicating progressive mineral concentration decline in the block.</w:t>
      </w:r>
    </w:p>
    <w:p>
      <w:pPr>
        <w:pStyle w:val="Heading1"/>
        <w:keepNext/>
        <w:spacing w:before="240" w:after="120"/>
      </w:pPr>
      <w:r>
        <w:rPr>
          <w:rFonts w:ascii="Arial" w:hAnsi="Arial"/>
          <w:b/>
          <w:color w:val="1F497D"/>
          <w:sz w:val="28"/>
        </w:rPr>
        <w:t>5. Spatiotemporal Generalization Results</w:t>
      </w:r>
    </w:p>
    <w:p>
      <w:pPr>
        <w:pStyle w:val="Heading2"/>
        <w:keepNext/>
        <w:spacing w:before="240" w:after="120"/>
      </w:pPr>
      <w:r>
        <w:rPr>
          <w:rFonts w:ascii="Arial" w:hAnsi="Arial"/>
          <w:b/>
          <w:color w:val="595959"/>
          <w:sz w:val="24"/>
        </w:rPr>
        <w:t>5.1. Leave-One-Location-Out (LOGO) Performance</w:t>
      </w:r>
    </w:p>
    <w:p>
      <w:r>
        <w:t>• Evaluation Framework: Models predict the WQI from the parameters of the same year. This constitutes a mathematical function reconstruction task rather than standard forecasting, verifying the models' capacity to approximate the non-linear clipped weighted WQI relationship.</w:t>
      </w:r>
    </w:p>
    <w:p>
      <w:r>
        <w:t>• Note on Linear Regression &amp; Ridge: In this configuration, Linear Regression (R² = 0.998) and Ridge Regression (R² = 0.991) achieve near-perfect performance. This is an algebraic identity recovery sanity check, not a demonstration of generalizability: because WQI is calculated directly from the inputs, linear models reconstruct the system weight weights exactly. They are excluded from fair comparison against predictive ML models.</w:t>
      </w:r>
    </w:p>
    <w:p>
      <w:r>
        <w:t>Table 2: Spatial Generalization (LOGO Cross-Validation) on 42 Samples</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1F497D"/>
          </w:tcPr>
          <w:p>
            <w:r>
              <w:rPr>
                <w:b/>
                <w:color w:val="FFFFFF"/>
                <w:sz w:val="19"/>
              </w:rPr>
              <w:t>Model Name</w:t>
            </w:r>
          </w:p>
        </w:tc>
        <w:tc>
          <w:tcPr>
            <w:tcW w:type="dxa" w:w="2340"/>
            <w:shd w:val="clear" w:color="auto" w:fill="1F497D"/>
          </w:tcPr>
          <w:p>
            <w:r>
              <w:rPr>
                <w:b/>
                <w:color w:val="FFFFFF"/>
                <w:sz w:val="19"/>
              </w:rPr>
              <w:t>Mean Fold RMSE</w:t>
            </w:r>
          </w:p>
        </w:tc>
        <w:tc>
          <w:tcPr>
            <w:tcW w:type="dxa" w:w="2340"/>
            <w:shd w:val="clear" w:color="auto" w:fill="1F497D"/>
          </w:tcPr>
          <w:p>
            <w:r>
              <w:rPr>
                <w:b/>
                <w:color w:val="FFFFFF"/>
                <w:sz w:val="19"/>
              </w:rPr>
              <w:t>Pooled RMSE</w:t>
            </w:r>
          </w:p>
        </w:tc>
        <w:tc>
          <w:tcPr>
            <w:tcW w:type="dxa" w:w="2340"/>
            <w:shd w:val="clear" w:color="auto" w:fill="1F497D"/>
          </w:tcPr>
          <w:p>
            <w:r>
              <w:rPr>
                <w:b/>
                <w:color w:val="FFFFFF"/>
                <w:sz w:val="19"/>
              </w:rPr>
              <w:t>Pooled R²</w:t>
            </w:r>
          </w:p>
        </w:tc>
      </w:tr>
      <w:tr>
        <w:tc>
          <w:tcPr>
            <w:tcW w:type="dxa" w:w="2340"/>
          </w:tcPr>
          <w:p>
            <w:r>
              <w:rPr>
                <w:sz w:val="18"/>
              </w:rPr>
              <w:t>Gradient Boosting</w:t>
            </w:r>
          </w:p>
        </w:tc>
        <w:tc>
          <w:tcPr>
            <w:tcW w:type="dxa" w:w="2340"/>
          </w:tcPr>
          <w:p>
            <w:r>
              <w:rPr>
                <w:sz w:val="18"/>
              </w:rPr>
              <w:t>13.63</w:t>
            </w:r>
          </w:p>
        </w:tc>
        <w:tc>
          <w:tcPr>
            <w:tcW w:type="dxa" w:w="2340"/>
          </w:tcPr>
          <w:p>
            <w:r>
              <w:rPr>
                <w:sz w:val="18"/>
              </w:rPr>
              <w:t>29.51</w:t>
            </w:r>
          </w:p>
        </w:tc>
        <w:tc>
          <w:tcPr>
            <w:tcW w:type="dxa" w:w="2340"/>
          </w:tcPr>
          <w:p>
            <w:r>
              <w:rPr>
                <w:sz w:val="18"/>
              </w:rPr>
              <w:t>0.838</w:t>
            </w:r>
          </w:p>
        </w:tc>
      </w:tr>
      <w:tr>
        <w:tc>
          <w:tcPr>
            <w:tcW w:type="dxa" w:w="2340"/>
          </w:tcPr>
          <w:p>
            <w:r>
              <w:rPr>
                <w:sz w:val="18"/>
              </w:rPr>
              <w:t>Random Forest</w:t>
            </w:r>
          </w:p>
        </w:tc>
        <w:tc>
          <w:tcPr>
            <w:tcW w:type="dxa" w:w="2340"/>
          </w:tcPr>
          <w:p>
            <w:r>
              <w:rPr>
                <w:sz w:val="18"/>
              </w:rPr>
              <w:t>18.12</w:t>
            </w:r>
          </w:p>
        </w:tc>
        <w:tc>
          <w:tcPr>
            <w:tcW w:type="dxa" w:w="2340"/>
          </w:tcPr>
          <w:p>
            <w:r>
              <w:rPr>
                <w:sz w:val="18"/>
              </w:rPr>
              <w:t>38.11</w:t>
            </w:r>
          </w:p>
        </w:tc>
        <w:tc>
          <w:tcPr>
            <w:tcW w:type="dxa" w:w="2340"/>
          </w:tcPr>
          <w:p>
            <w:r>
              <w:rPr>
                <w:sz w:val="18"/>
              </w:rPr>
              <w:t>0.730</w:t>
            </w:r>
          </w:p>
        </w:tc>
      </w:tr>
      <w:tr>
        <w:tc>
          <w:tcPr>
            <w:tcW w:type="dxa" w:w="2340"/>
          </w:tcPr>
          <w:p>
            <w:r>
              <w:rPr>
                <w:sz w:val="18"/>
              </w:rPr>
              <w:t>K-Nearest Neighbors (KNN)</w:t>
            </w:r>
          </w:p>
        </w:tc>
        <w:tc>
          <w:tcPr>
            <w:tcW w:type="dxa" w:w="2340"/>
          </w:tcPr>
          <w:p>
            <w:r>
              <w:rPr>
                <w:sz w:val="18"/>
              </w:rPr>
              <w:t>12.93</w:t>
            </w:r>
          </w:p>
        </w:tc>
        <w:tc>
          <w:tcPr>
            <w:tcW w:type="dxa" w:w="2340"/>
          </w:tcPr>
          <w:p>
            <w:r>
              <w:rPr>
                <w:sz w:val="18"/>
              </w:rPr>
              <w:t>20.56</w:t>
            </w:r>
          </w:p>
        </w:tc>
        <w:tc>
          <w:tcPr>
            <w:tcW w:type="dxa" w:w="2340"/>
          </w:tcPr>
          <w:p>
            <w:r>
              <w:rPr>
                <w:sz w:val="18"/>
              </w:rPr>
              <w:t>0.921</w:t>
            </w:r>
          </w:p>
        </w:tc>
      </w:tr>
      <w:tr>
        <w:tc>
          <w:tcPr>
            <w:tcW w:type="dxa" w:w="2340"/>
          </w:tcPr>
          <w:p>
            <w:r>
              <w:rPr>
                <w:sz w:val="18"/>
              </w:rPr>
              <w:t>Mean Baseline</w:t>
            </w:r>
          </w:p>
        </w:tc>
        <w:tc>
          <w:tcPr>
            <w:tcW w:type="dxa" w:w="2340"/>
          </w:tcPr>
          <w:p>
            <w:r>
              <w:rPr>
                <w:sz w:val="18"/>
              </w:rPr>
              <w:t>52.96</w:t>
            </w:r>
          </w:p>
        </w:tc>
        <w:tc>
          <w:tcPr>
            <w:tcW w:type="dxa" w:w="2340"/>
          </w:tcPr>
          <w:p>
            <w:r>
              <w:rPr>
                <w:sz w:val="18"/>
              </w:rPr>
              <w:t>74.76</w:t>
            </w:r>
          </w:p>
        </w:tc>
        <w:tc>
          <w:tcPr>
            <w:tcW w:type="dxa" w:w="2340"/>
          </w:tcPr>
          <w:p>
            <w:r>
              <w:rPr>
                <w:sz w:val="18"/>
              </w:rPr>
              <w:t>-0.038</w:t>
            </w:r>
          </w:p>
        </w:tc>
      </w:tr>
    </w:tbl>
    <w:p>
      <w:pPr>
        <w:pStyle w:val="Heading2"/>
        <w:keepNext/>
        <w:spacing w:before="240" w:after="120"/>
      </w:pPr>
      <w:r>
        <w:rPr>
          <w:rFonts w:ascii="Arial" w:hAnsi="Arial"/>
          <w:b/>
          <w:color w:val="595959"/>
          <w:sz w:val="24"/>
        </w:rPr>
        <w:t>5.2. Interpretability &amp; Spatial Failure Points</w:t>
      </w:r>
    </w:p>
    <w:p>
      <w:r>
        <w:t>• Model Selection for Interpretability: Random Forest was selected for feature attribution (SHAP) despite its lower spatial accuracy than Gradient Boosting, due to its robustness to individual outliers in trees.</w:t>
      </w:r>
    </w:p>
    <w:p>
      <w:r>
        <w:t>• Feature Importance: SHAP analysis shows Fluoride (F) is the primary driver of predicted WQI (mean |SHAP| = 33.26), with Year (2.93) and TDS (1.23) acting as secondary factors.</w:t>
      </w:r>
    </w:p>
    <w:p>
      <w:r>
        <w:t>• Location-Specific Generalization Failures: Under group-aware validation, models failed severely at specific locations with extreme local anomalies:</w:t>
      </w:r>
    </w:p>
    <w:p>
      <w:r>
        <w:t xml:space="preserve">  - Sanyasigundu: RMSE of 118.98 and MAE of 70.12 (mean bias of -68.46).</w:t>
      </w:r>
    </w:p>
    <w:p>
      <w:r>
        <w:t xml:space="preserve">  - Sarkar kollapatti: RMSE of 76.52 and MAE of 45.35 (mean bias of -42.98).</w:t>
      </w:r>
    </w:p>
    <w:p>
      <w:pPr>
        <w:pStyle w:val="Heading1"/>
        <w:keepNext/>
        <w:spacing w:before="240" w:after="120"/>
      </w:pPr>
      <w:r>
        <w:rPr>
          <w:rFonts w:ascii="Arial" w:hAnsi="Arial"/>
          <w:b/>
          <w:color w:val="1F497D"/>
          <w:sz w:val="28"/>
        </w:rPr>
        <w:t>6. Temporal Holdout &amp; Forecasting Results</w:t>
      </w:r>
    </w:p>
    <w:p>
      <w:pPr>
        <w:pStyle w:val="Heading2"/>
        <w:keepNext/>
        <w:spacing w:before="240" w:after="120"/>
      </w:pPr>
      <w:r>
        <w:rPr>
          <w:rFonts w:ascii="Arial" w:hAnsi="Arial"/>
          <w:b/>
          <w:color w:val="595959"/>
          <w:sz w:val="24"/>
        </w:rPr>
        <w:t>6.1. 2024 Temporal Holdout Evaluation</w:t>
      </w:r>
    </w:p>
    <w:p>
      <w:r>
        <w:t>• Temporal Generalization: Models trained on 2022-2023 data and tested on the 2024 calendar year show severe performance degradation across all ML algorithms, resulting in negative R² values.</w:t>
      </w:r>
    </w:p>
    <w:p>
      <w:r>
        <w:t>Table 3: Temporal Holdout Metrics (Testing on Year 2024)</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1F497D"/>
          </w:tcPr>
          <w:p>
            <w:r>
              <w:rPr>
                <w:b/>
                <w:color w:val="FFFFFF"/>
                <w:sz w:val="19"/>
              </w:rPr>
              <w:t>Model</w:t>
            </w:r>
          </w:p>
        </w:tc>
        <w:tc>
          <w:tcPr>
            <w:tcW w:type="dxa" w:w="2340"/>
            <w:shd w:val="clear" w:color="auto" w:fill="1F497D"/>
          </w:tcPr>
          <w:p>
            <w:r>
              <w:rPr>
                <w:b/>
                <w:color w:val="FFFFFF"/>
                <w:sz w:val="19"/>
              </w:rPr>
              <w:t>RMSE</w:t>
            </w:r>
          </w:p>
        </w:tc>
        <w:tc>
          <w:tcPr>
            <w:tcW w:type="dxa" w:w="2340"/>
            <w:shd w:val="clear" w:color="auto" w:fill="1F497D"/>
          </w:tcPr>
          <w:p>
            <w:r>
              <w:rPr>
                <w:b/>
                <w:color w:val="FFFFFF"/>
                <w:sz w:val="19"/>
              </w:rPr>
              <w:t>MAE</w:t>
            </w:r>
          </w:p>
        </w:tc>
        <w:tc>
          <w:tcPr>
            <w:tcW w:type="dxa" w:w="2340"/>
            <w:shd w:val="clear" w:color="auto" w:fill="1F497D"/>
          </w:tcPr>
          <w:p>
            <w:r>
              <w:rPr>
                <w:b/>
                <w:color w:val="FFFFFF"/>
                <w:sz w:val="19"/>
              </w:rPr>
              <w:t>R²</w:t>
            </w:r>
          </w:p>
        </w:tc>
      </w:tr>
      <w:tr>
        <w:tc>
          <w:tcPr>
            <w:tcW w:type="dxa" w:w="2340"/>
          </w:tcPr>
          <w:p>
            <w:r>
              <w:rPr>
                <w:sz w:val="18"/>
              </w:rPr>
              <w:t>Gradient Boosting</w:t>
            </w:r>
          </w:p>
        </w:tc>
        <w:tc>
          <w:tcPr>
            <w:tcW w:type="dxa" w:w="2340"/>
          </w:tcPr>
          <w:p>
            <w:r>
              <w:rPr>
                <w:sz w:val="18"/>
              </w:rPr>
              <w:t>7.66</w:t>
            </w:r>
          </w:p>
        </w:tc>
        <w:tc>
          <w:tcPr>
            <w:tcW w:type="dxa" w:w="2340"/>
          </w:tcPr>
          <w:p>
            <w:r>
              <w:rPr>
                <w:sz w:val="18"/>
              </w:rPr>
              <w:t>6.08</w:t>
            </w:r>
          </w:p>
        </w:tc>
        <w:tc>
          <w:tcPr>
            <w:tcW w:type="dxa" w:w="2340"/>
          </w:tcPr>
          <w:p>
            <w:r>
              <w:rPr>
                <w:sz w:val="18"/>
              </w:rPr>
              <w:t>-1.12</w:t>
            </w:r>
          </w:p>
        </w:tc>
      </w:tr>
      <w:tr>
        <w:tc>
          <w:tcPr>
            <w:tcW w:type="dxa" w:w="2340"/>
          </w:tcPr>
          <w:p>
            <w:r>
              <w:rPr>
                <w:sz w:val="18"/>
              </w:rPr>
              <w:t>KNN</w:t>
            </w:r>
          </w:p>
        </w:tc>
        <w:tc>
          <w:tcPr>
            <w:tcW w:type="dxa" w:w="2340"/>
          </w:tcPr>
          <w:p>
            <w:r>
              <w:rPr>
                <w:sz w:val="18"/>
              </w:rPr>
              <w:t>11.36</w:t>
            </w:r>
          </w:p>
        </w:tc>
        <w:tc>
          <w:tcPr>
            <w:tcW w:type="dxa" w:w="2340"/>
          </w:tcPr>
          <w:p>
            <w:r>
              <w:rPr>
                <w:sz w:val="18"/>
              </w:rPr>
              <w:t>10.14</w:t>
            </w:r>
          </w:p>
        </w:tc>
        <w:tc>
          <w:tcPr>
            <w:tcW w:type="dxa" w:w="2340"/>
          </w:tcPr>
          <w:p>
            <w:r>
              <w:rPr>
                <w:sz w:val="18"/>
              </w:rPr>
              <w:t>-3.66</w:t>
            </w:r>
          </w:p>
        </w:tc>
      </w:tr>
      <w:tr>
        <w:tc>
          <w:tcPr>
            <w:tcW w:type="dxa" w:w="2340"/>
          </w:tcPr>
          <w:p>
            <w:r>
              <w:rPr>
                <w:sz w:val="18"/>
              </w:rPr>
              <w:t>Random Forest</w:t>
            </w:r>
          </w:p>
        </w:tc>
        <w:tc>
          <w:tcPr>
            <w:tcW w:type="dxa" w:w="2340"/>
          </w:tcPr>
          <w:p>
            <w:r>
              <w:rPr>
                <w:sz w:val="18"/>
              </w:rPr>
              <w:t>13.50</w:t>
            </w:r>
          </w:p>
        </w:tc>
        <w:tc>
          <w:tcPr>
            <w:tcW w:type="dxa" w:w="2340"/>
          </w:tcPr>
          <w:p>
            <w:r>
              <w:rPr>
                <w:sz w:val="18"/>
              </w:rPr>
              <w:t>12.34</w:t>
            </w:r>
          </w:p>
        </w:tc>
        <w:tc>
          <w:tcPr>
            <w:tcW w:type="dxa" w:w="2340"/>
          </w:tcPr>
          <w:p>
            <w:r>
              <w:rPr>
                <w:sz w:val="18"/>
              </w:rPr>
              <w:t>-5.58</w:t>
            </w:r>
          </w:p>
        </w:tc>
      </w:tr>
      <w:tr>
        <w:tc>
          <w:tcPr>
            <w:tcW w:type="dxa" w:w="2340"/>
          </w:tcPr>
          <w:p>
            <w:r>
              <w:rPr>
                <w:sz w:val="18"/>
              </w:rPr>
              <w:t>Linear Regression</w:t>
            </w:r>
          </w:p>
        </w:tc>
        <w:tc>
          <w:tcPr>
            <w:tcW w:type="dxa" w:w="2340"/>
          </w:tcPr>
          <w:p>
            <w:r>
              <w:rPr>
                <w:sz w:val="18"/>
              </w:rPr>
              <w:t>18.38</w:t>
            </w:r>
          </w:p>
        </w:tc>
        <w:tc>
          <w:tcPr>
            <w:tcW w:type="dxa" w:w="2340"/>
          </w:tcPr>
          <w:p>
            <w:r>
              <w:rPr>
                <w:sz w:val="18"/>
              </w:rPr>
              <w:t>18.17</w:t>
            </w:r>
          </w:p>
        </w:tc>
        <w:tc>
          <w:tcPr>
            <w:tcW w:type="dxa" w:w="2340"/>
          </w:tcPr>
          <w:p>
            <w:r>
              <w:rPr>
                <w:sz w:val="18"/>
              </w:rPr>
              <w:t>-11.19</w:t>
            </w:r>
          </w:p>
        </w:tc>
      </w:tr>
      <w:tr>
        <w:tc>
          <w:tcPr>
            <w:tcW w:type="dxa" w:w="2340"/>
          </w:tcPr>
          <w:p>
            <w:r>
              <w:rPr>
                <w:sz w:val="18"/>
              </w:rPr>
              <w:t>Mean Baseline</w:t>
            </w:r>
          </w:p>
        </w:tc>
        <w:tc>
          <w:tcPr>
            <w:tcW w:type="dxa" w:w="2340"/>
          </w:tcPr>
          <w:p>
            <w:r>
              <w:rPr>
                <w:sz w:val="18"/>
              </w:rPr>
              <w:t>57.34</w:t>
            </w:r>
          </w:p>
        </w:tc>
        <w:tc>
          <w:tcPr>
            <w:tcW w:type="dxa" w:w="2340"/>
          </w:tcPr>
          <w:p>
            <w:r>
              <w:rPr>
                <w:sz w:val="18"/>
              </w:rPr>
              <w:t>57.10</w:t>
            </w:r>
          </w:p>
        </w:tc>
        <w:tc>
          <w:tcPr>
            <w:tcW w:type="dxa" w:w="2340"/>
          </w:tcPr>
          <w:p>
            <w:r>
              <w:rPr>
                <w:sz w:val="18"/>
              </w:rPr>
              <w:t>-117.69</w:t>
            </w:r>
          </w:p>
        </w:tc>
      </w:tr>
    </w:tbl>
    <w:p>
      <w:r>
        <w:t>• Explanation of Negative R²: A negative R² indicates that the trained ML models predict worse than a simple horizontal line representing the historical mean of the 2024 test set. This failure is driven by strong temporal distribution shifts and data drift (e.g., global parameter values decreasing significantly in 2024 compared to 2022-2023, causing models trained on older data to consistently overpredict).</w:t>
      </w:r>
    </w:p>
    <w:p>
      <w:pPr>
        <w:pStyle w:val="Heading2"/>
        <w:keepNext/>
        <w:spacing w:before="240" w:after="120"/>
      </w:pPr>
      <w:r>
        <w:rPr>
          <w:rFonts w:ascii="Arial" w:hAnsi="Arial"/>
          <w:b/>
          <w:color w:val="595959"/>
          <w:sz w:val="24"/>
        </w:rPr>
        <w:t>6.2. 2025 Forecasting Holdout (Multi-step vs. Direct)</w:t>
      </w:r>
    </w:p>
    <w:p>
      <w:r>
        <w:t>• Forecasting Framework: Evaluates multi-step forecasting of WQI using (a) a parameter-first approach (forecasting chemical parameters with CatBoost and then calculating WQI), and (b) a direct WQI forecasting approach (forecasting the WQI directly). Tested on a 6-month holdout in 2025 (64 samples).</w:t>
      </w:r>
    </w:p>
    <w:p>
      <w:r>
        <w:t>Table 4: 2025 Holdout Period Forecasting Comparison (64 Samples)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F497D"/>
          </w:tcPr>
          <w:p>
            <w:r>
              <w:rPr>
                <w:b/>
                <w:color w:val="FFFFFF"/>
                <w:sz w:val="19"/>
              </w:rPr>
              <w:t>Model Name</w:t>
            </w:r>
          </w:p>
        </w:tc>
        <w:tc>
          <w:tcPr>
            <w:tcW w:type="dxa" w:w="1872"/>
            <w:shd w:val="clear" w:color="auto" w:fill="1F497D"/>
          </w:tcPr>
          <w:p>
            <w:r>
              <w:rPr>
                <w:b/>
                <w:color w:val="FFFFFF"/>
                <w:sz w:val="19"/>
              </w:rPr>
              <w:t>RMSE</w:t>
            </w:r>
          </w:p>
        </w:tc>
        <w:tc>
          <w:tcPr>
            <w:tcW w:type="dxa" w:w="1872"/>
            <w:shd w:val="clear" w:color="auto" w:fill="1F497D"/>
          </w:tcPr>
          <w:p>
            <w:r>
              <w:rPr>
                <w:b/>
                <w:color w:val="FFFFFF"/>
                <w:sz w:val="19"/>
              </w:rPr>
              <w:t>MAE</w:t>
            </w:r>
          </w:p>
        </w:tc>
        <w:tc>
          <w:tcPr>
            <w:tcW w:type="dxa" w:w="1872"/>
            <w:shd w:val="clear" w:color="auto" w:fill="1F497D"/>
          </w:tcPr>
          <w:p>
            <w:r>
              <w:rPr>
                <w:b/>
                <w:color w:val="FFFFFF"/>
                <w:sz w:val="19"/>
              </w:rPr>
              <w:t>R²</w:t>
            </w:r>
          </w:p>
        </w:tc>
        <w:tc>
          <w:tcPr>
            <w:tcW w:type="dxa" w:w="1872"/>
            <w:shd w:val="clear" w:color="auto" w:fill="1F497D"/>
          </w:tcPr>
          <w:p>
            <w:r>
              <w:rPr>
                <w:b/>
                <w:color w:val="FFFFFF"/>
                <w:sz w:val="19"/>
              </w:rPr>
              <w:t>n_rows</w:t>
            </w:r>
          </w:p>
        </w:tc>
      </w:tr>
      <w:tr>
        <w:tc>
          <w:tcPr>
            <w:tcW w:type="dxa" w:w="1872"/>
          </w:tcPr>
          <w:p>
            <w:r>
              <w:rPr>
                <w:sz w:val="18"/>
              </w:rPr>
              <w:t>Persistence Baseline (Naive)</w:t>
            </w:r>
          </w:p>
        </w:tc>
        <w:tc>
          <w:tcPr>
            <w:tcW w:type="dxa" w:w="1872"/>
          </w:tcPr>
          <w:p>
            <w:r>
              <w:rPr>
                <w:sz w:val="18"/>
              </w:rPr>
              <w:t>12.18</w:t>
            </w:r>
          </w:p>
        </w:tc>
        <w:tc>
          <w:tcPr>
            <w:tcW w:type="dxa" w:w="1872"/>
          </w:tcPr>
          <w:p>
            <w:r>
              <w:rPr>
                <w:sz w:val="18"/>
              </w:rPr>
              <w:t>8.79</w:t>
            </w:r>
          </w:p>
        </w:tc>
        <w:tc>
          <w:tcPr>
            <w:tcW w:type="dxa" w:w="1872"/>
          </w:tcPr>
          <w:p>
            <w:r>
              <w:rPr>
                <w:sz w:val="18"/>
              </w:rPr>
              <w:t>0.15</w:t>
            </w:r>
          </w:p>
        </w:tc>
        <w:tc>
          <w:tcPr>
            <w:tcW w:type="dxa" w:w="1872"/>
          </w:tcPr>
          <w:p>
            <w:r>
              <w:rPr>
                <w:sz w:val="18"/>
              </w:rPr>
              <w:t>64</w:t>
            </w:r>
          </w:p>
        </w:tc>
      </w:tr>
      <w:tr>
        <w:tc>
          <w:tcPr>
            <w:tcW w:type="dxa" w:w="1872"/>
          </w:tcPr>
          <w:p>
            <w:r>
              <w:rPr>
                <w:sz w:val="18"/>
              </w:rPr>
              <w:t>ParameterCatBoostDefault (Parameter-First)</w:t>
            </w:r>
          </w:p>
        </w:tc>
        <w:tc>
          <w:tcPr>
            <w:tcW w:type="dxa" w:w="1872"/>
          </w:tcPr>
          <w:p>
            <w:r>
              <w:rPr>
                <w:sz w:val="18"/>
              </w:rPr>
              <w:t>13.42</w:t>
            </w:r>
          </w:p>
        </w:tc>
        <w:tc>
          <w:tcPr>
            <w:tcW w:type="dxa" w:w="1872"/>
          </w:tcPr>
          <w:p>
            <w:r>
              <w:rPr>
                <w:sz w:val="18"/>
              </w:rPr>
              <w:t>10.82</w:t>
            </w:r>
          </w:p>
        </w:tc>
        <w:tc>
          <w:tcPr>
            <w:tcW w:type="dxa" w:w="1872"/>
          </w:tcPr>
          <w:p>
            <w:r>
              <w:rPr>
                <w:sz w:val="18"/>
              </w:rPr>
              <w:t>-0.03</w:t>
            </w:r>
          </w:p>
        </w:tc>
        <w:tc>
          <w:tcPr>
            <w:tcW w:type="dxa" w:w="1872"/>
          </w:tcPr>
          <w:p>
            <w:r>
              <w:rPr>
                <w:sz w:val="18"/>
              </w:rPr>
              <w:t>64</w:t>
            </w:r>
          </w:p>
        </w:tc>
      </w:tr>
      <w:tr>
        <w:tc>
          <w:tcPr>
            <w:tcW w:type="dxa" w:w="1872"/>
          </w:tcPr>
          <w:p>
            <w:r>
              <w:rPr>
                <w:sz w:val="18"/>
              </w:rPr>
              <w:t>ParameterCatBoostTuned (Parameter-First)</w:t>
            </w:r>
          </w:p>
        </w:tc>
        <w:tc>
          <w:tcPr>
            <w:tcW w:type="dxa" w:w="1872"/>
          </w:tcPr>
          <w:p>
            <w:r>
              <w:rPr>
                <w:sz w:val="18"/>
              </w:rPr>
              <w:t>13.44</w:t>
            </w:r>
          </w:p>
        </w:tc>
        <w:tc>
          <w:tcPr>
            <w:tcW w:type="dxa" w:w="1872"/>
          </w:tcPr>
          <w:p>
            <w:r>
              <w:rPr>
                <w:sz w:val="18"/>
              </w:rPr>
              <w:t>10.81</w:t>
            </w:r>
          </w:p>
        </w:tc>
        <w:tc>
          <w:tcPr>
            <w:tcW w:type="dxa" w:w="1872"/>
          </w:tcPr>
          <w:p>
            <w:r>
              <w:rPr>
                <w:sz w:val="18"/>
              </w:rPr>
              <w:t>-0.03</w:t>
            </w:r>
          </w:p>
        </w:tc>
        <w:tc>
          <w:tcPr>
            <w:tcW w:type="dxa" w:w="1872"/>
          </w:tcPr>
          <w:p>
            <w:r>
              <w:rPr>
                <w:sz w:val="18"/>
              </w:rPr>
              <w:t>64</w:t>
            </w:r>
          </w:p>
        </w:tc>
      </w:tr>
      <w:tr>
        <w:tc>
          <w:tcPr>
            <w:tcW w:type="dxa" w:w="1872"/>
          </w:tcPr>
          <w:p>
            <w:r>
              <w:rPr>
                <w:sz w:val="18"/>
              </w:rPr>
              <w:t>DirectCatBoost (Direct WQI)</w:t>
            </w:r>
          </w:p>
        </w:tc>
        <w:tc>
          <w:tcPr>
            <w:tcW w:type="dxa" w:w="1872"/>
          </w:tcPr>
          <w:p>
            <w:r>
              <w:rPr>
                <w:sz w:val="18"/>
              </w:rPr>
              <w:t>14.92</w:t>
            </w:r>
          </w:p>
        </w:tc>
        <w:tc>
          <w:tcPr>
            <w:tcW w:type="dxa" w:w="1872"/>
          </w:tcPr>
          <w:p>
            <w:r>
              <w:rPr>
                <w:sz w:val="18"/>
              </w:rPr>
              <w:t>12.31</w:t>
            </w:r>
          </w:p>
        </w:tc>
        <w:tc>
          <w:tcPr>
            <w:tcW w:type="dxa" w:w="1872"/>
          </w:tcPr>
          <w:p>
            <w:r>
              <w:rPr>
                <w:sz w:val="18"/>
              </w:rPr>
              <w:t>-0.28</w:t>
            </w:r>
          </w:p>
        </w:tc>
        <w:tc>
          <w:tcPr>
            <w:tcW w:type="dxa" w:w="1872"/>
          </w:tcPr>
          <w:p>
            <w:r>
              <w:rPr>
                <w:sz w:val="18"/>
              </w:rPr>
              <w:t>64</w:t>
            </w:r>
          </w:p>
        </w:tc>
      </w:tr>
      <w:tr>
        <w:tc>
          <w:tcPr>
            <w:tcW w:type="dxa" w:w="1872"/>
          </w:tcPr>
          <w:p>
            <w:r>
              <w:rPr>
                <w:sz w:val="18"/>
              </w:rPr>
              <w:t>Seasonal Mean</w:t>
            </w:r>
          </w:p>
        </w:tc>
        <w:tc>
          <w:tcPr>
            <w:tcW w:type="dxa" w:w="1872"/>
          </w:tcPr>
          <w:p>
            <w:r>
              <w:rPr>
                <w:sz w:val="18"/>
              </w:rPr>
              <w:t>16.49</w:t>
            </w:r>
          </w:p>
        </w:tc>
        <w:tc>
          <w:tcPr>
            <w:tcW w:type="dxa" w:w="1872"/>
          </w:tcPr>
          <w:p>
            <w:r>
              <w:rPr>
                <w:sz w:val="18"/>
              </w:rPr>
              <w:t>13.93</w:t>
            </w:r>
          </w:p>
        </w:tc>
        <w:tc>
          <w:tcPr>
            <w:tcW w:type="dxa" w:w="1872"/>
          </w:tcPr>
          <w:p>
            <w:r>
              <w:rPr>
                <w:sz w:val="18"/>
              </w:rPr>
              <w:t>-0.56</w:t>
            </w:r>
          </w:p>
        </w:tc>
        <w:tc>
          <w:tcPr>
            <w:tcW w:type="dxa" w:w="1872"/>
          </w:tcPr>
          <w:p>
            <w:r>
              <w:rPr>
                <w:sz w:val="18"/>
              </w:rPr>
              <w:t>64</w:t>
            </w:r>
          </w:p>
        </w:tc>
      </w:tr>
      <w:tr>
        <w:tc>
          <w:tcPr>
            <w:tcW w:type="dxa" w:w="1872"/>
          </w:tcPr>
          <w:p>
            <w:r>
              <w:rPr>
                <w:sz w:val="18"/>
              </w:rPr>
              <w:t>Location Mean</w:t>
            </w:r>
          </w:p>
        </w:tc>
        <w:tc>
          <w:tcPr>
            <w:tcW w:type="dxa" w:w="1872"/>
          </w:tcPr>
          <w:p>
            <w:r>
              <w:rPr>
                <w:sz w:val="18"/>
              </w:rPr>
              <w:t>19.80</w:t>
            </w:r>
          </w:p>
        </w:tc>
        <w:tc>
          <w:tcPr>
            <w:tcW w:type="dxa" w:w="1872"/>
          </w:tcPr>
          <w:p>
            <w:r>
              <w:rPr>
                <w:sz w:val="18"/>
              </w:rPr>
              <w:t>16.71</w:t>
            </w:r>
          </w:p>
        </w:tc>
        <w:tc>
          <w:tcPr>
            <w:tcW w:type="dxa" w:w="1872"/>
          </w:tcPr>
          <w:p>
            <w:r>
              <w:rPr>
                <w:sz w:val="18"/>
              </w:rPr>
              <w:t>-1.25</w:t>
            </w:r>
          </w:p>
        </w:tc>
        <w:tc>
          <w:tcPr>
            <w:tcW w:type="dxa" w:w="1872"/>
          </w:tcPr>
          <w:p>
            <w:r>
              <w:rPr>
                <w:sz w:val="18"/>
              </w:rPr>
              <w:t>64</w:t>
            </w:r>
          </w:p>
        </w:tc>
      </w:tr>
    </w:tbl>
    <w:p>
      <w:r>
        <w:t>• Key Findings for Forecasting:</w:t>
      </w:r>
    </w:p>
    <w:p>
      <w:r>
        <w:t xml:space="preserve">  1. Naive Persistence Superiority (The Central Result): Under severe observational sparsity (17.87% data density), the simple naive persistence baseline (RMSE = 12.18, R² = 0.15) outperforms every single machine learning model tested. No ML model achieved a positive R² on the forecasting holdout.</w:t>
      </w:r>
    </w:p>
    <w:p>
      <w:r>
        <w:t xml:space="preserve">  2. Parameter-First vs. Direct WQI: The parameter-first approach (RMSE = 13.42) modestly outperforms the direct forecasting baseline (RMSE = 14.92). While this represents a ~10% reduction in RMSE, this improvement is marginal and remains below the naive persistence threshold, suggesting that ML forecasting utility is highly restricted by data sparsity.</w:t>
      </w:r>
    </w:p>
    <w:p>
      <w:pPr>
        <w:pStyle w:val="Heading1"/>
        <w:keepNext/>
        <w:spacing w:before="240" w:after="120"/>
      </w:pPr>
      <w:r>
        <w:rPr>
          <w:rFonts w:ascii="Arial" w:hAnsi="Arial"/>
          <w:b/>
          <w:color w:val="1F497D"/>
          <w:sz w:val="28"/>
        </w:rPr>
        <w:t>7. Discussion &amp; Limitations</w:t>
      </w:r>
    </w:p>
    <w:p>
      <w:pPr>
        <w:pStyle w:val="Heading2"/>
        <w:keepNext/>
        <w:spacing w:before="240" w:after="120"/>
      </w:pPr>
      <w:r>
        <w:rPr>
          <w:rFonts w:ascii="Arial" w:hAnsi="Arial"/>
          <w:b/>
          <w:color w:val="595959"/>
          <w:sz w:val="24"/>
        </w:rPr>
        <w:t>7.1. Scientific Implications of the Persistence Paradox</w:t>
      </w:r>
    </w:p>
    <w:p>
      <w:r>
        <w:t>• The Persistence Paradox: In datasets with high temporal sparsity and long gaps between observations, complex ML models (even when tuned or structured as parameter-first) fail to capture genuine temporal dynamics. Instead, they overfit to historical means or local trends, leading to negative R² during distribution shifts. This suggests that simple persistence remains the most reliable baseline for sparse environmental monitoring, and caution must be exercised when deploying ML models in data-poor administrative blocks.</w:t>
      </w:r>
    </w:p>
    <w:p>
      <w:r>
        <w:t>• Parameter-First Architecture Rationale: Modestly superior performance of the parameter-first approach over direct forecasting is motivated by physical constraints: predicting individual chemistry parameters preserves physical equations and bounds (e.g., TDS and Hardness covariation) and allows direct intervention by domain experts, whereas direct forecasting treats WQI as an arbitrary, unconstrained black-box target.</w:t>
      </w:r>
    </w:p>
    <w:p>
      <w:pPr>
        <w:pStyle w:val="Heading2"/>
        <w:keepNext/>
        <w:spacing w:before="240" w:after="120"/>
      </w:pPr>
      <w:r>
        <w:rPr>
          <w:rFonts w:ascii="Arial" w:hAnsi="Arial"/>
          <w:b/>
          <w:color w:val="595959"/>
          <w:sz w:val="24"/>
        </w:rPr>
        <w:t>7.2. Study Limitations</w:t>
      </w:r>
    </w:p>
    <w:p>
      <w:r>
        <w:t>• Data Sparsity: Only 825 out of 4,700 potential monthly observation cells were populated (17.87% density). The high volume of missing observations requires heavy interpolation, which smooths the test data and masks real high-frequency variance.</w:t>
      </w:r>
    </w:p>
    <w:p>
      <w:r>
        <w:t>• Compressed Holdout Window: The forecasting evaluation is restricted to a 6-month window in 2025 (64 samples), which may not represent long-term seasonal and annual variations.</w:t>
      </w:r>
    </w:p>
    <w:p>
      <w:r>
        <w:t>• Distribution Shift: Significant decline in parameter levels in 2024-2025 relative to 2022-2023 caused training biases, leading to consistent overprediction by temporal models.</w:t>
      </w:r>
    </w:p>
    <w:p>
      <w:r>
        <w:t>• Geographic Scope: The study is constrained strictly to the Salem Block, meaning spatial findings cannot be generalized to the entire Salem District or other blocks without additional local calibration.</w:t>
      </w:r>
    </w:p>
    <w:p>
      <w:pPr>
        <w:pStyle w:val="Heading1"/>
        <w:keepNext/>
        <w:spacing w:before="240" w:after="120"/>
      </w:pPr>
      <w:r>
        <w:rPr>
          <w:rFonts w:ascii="Arial" w:hAnsi="Arial"/>
          <w:b/>
          <w:color w:val="1F497D"/>
          <w:sz w:val="28"/>
        </w:rPr>
        <w:t>8. Conclusions &amp; Future Work</w:t>
      </w:r>
    </w:p>
    <w:p>
      <w:r>
        <w:t>• Conclusion Summary: While spatiotemporal ML models show moderate capacity to generalize across locations when predicting synchronous indices, they fail to outperform simple persistence in actual forecasting tasks under severe data sparsity. Reframing the model validation to acknowledge these baseline thresholds is critical for scientific transparency.</w:t>
      </w:r>
    </w:p>
    <w:p>
      <w:r>
        <w:t>• Policy Implications for Salem Block: Environmental regulators should focus on increasing the frequency and density of physical water sampling rather than relying on complex ML predictions to fill gaps, as sparse data limits model reliability.</w:t>
      </w:r>
    </w:p>
    <w:p>
      <w:r>
        <w:t>• Future Work Directions:</w:t>
      </w:r>
    </w:p>
    <w:p>
      <w:r>
        <w:t xml:space="preserve">  1. Sampling Density: Test models on denser datasets (e.g., bi-weekly or weekly sampling) to determine the threshold where ML models begin to outperform naive persistence.</w:t>
      </w:r>
    </w:p>
    <w:p>
      <w:r>
        <w:t xml:space="preserve">  2. Advanced Structural Models: Evaluate Bayesian Structural Time Series (BSTS) and Generalized Additive Models (GAM) to better model spatial and temporal components separately once more data becomes available.</w:t>
      </w:r>
    </w:p>
    <w:p>
      <w:r>
        <w:t xml:space="preserve">  3. Regional Expansion: Extend the evaluation framework to other blocks in the Salem District to test regional generalization.</w:t>
      </w:r>
    </w:p>
    <w:p>
      <w:pPr>
        <w:pStyle w:val="Heading1"/>
        <w:keepNext/>
        <w:spacing w:before="240" w:after="120"/>
      </w:pPr>
      <w:r>
        <w:rPr>
          <w:rFonts w:ascii="Arial" w:hAnsi="Arial"/>
          <w:b/>
          <w:color w:val="1F497D"/>
          <w:sz w:val="28"/>
        </w:rPr>
        <w:t>Code &amp; Data Availability Statement</w:t>
      </w:r>
    </w:p>
    <w:p>
      <w:r>
        <w:t>• Code Repository: The complete implementation pipeline is available at Mohit-Talgotra/WQI_Research_VIT. Core modules include:</w:t>
      </w:r>
    </w:p>
    <w:p>
      <w:r>
        <w:t xml:space="preserve">  - src/preprocessing/wqi_calc.py: Explicit WQI arithmetic calculations and sub-index clipping.</w:t>
      </w:r>
    </w:p>
    <w:p>
      <w:r>
        <w:t xml:space="preserve">  - src/analysis/trend_analysis.py: Mann-Kendall and Sen's slope trend evaluation scripts.</w:t>
      </w:r>
    </w:p>
    <w:p>
      <w:r>
        <w:t xml:space="preserve">  - src/forecasting/parameter_forecaster.py: Parameter-first multi-step forecasting models.</w:t>
      </w:r>
    </w:p>
    <w:p>
      <w:r>
        <w:t xml:space="preserve">  - src/trial/dashboard.py: Interactive GIS dashboard for visualization.</w:t>
      </w:r>
    </w:p>
    <w:p>
      <w:r>
        <w:t>• Data Source: Ground water quality monitoring workbooks for Salem Block (2022-2025).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