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t xml:space="preserve"/>
      </w:r>
    </w:p>
    <w:p>
      <w:pPr>
        <w:spacing w:after="100" w:before="200"/>
        <w:jc w:val="center"/>
      </w:pPr>
      <w:r>
        <w:rPr>
          <w:rFonts w:ascii="Calibri" w:cs="Calibri" w:eastAsia="Calibri" w:hAnsi="Calibri"/>
          <w:b/>
          <w:bCs/>
          <w:color w:val="5B5B5B"/>
          <w:sz w:val="28"/>
          <w:szCs w:val="28"/>
        </w:rPr>
        <w:t xml:space="preserve">PROJECT SYNOPSIS</w:t>
      </w:r>
    </w:p>
    <w:p>
      <w:pPr>
        <w:spacing w:after="100" w:before="300"/>
        <w:jc w:val="center"/>
      </w:pPr>
      <w:r>
        <w:rPr>
          <w:rFonts w:ascii="Calibri" w:cs="Calibri" w:eastAsia="Calibri" w:hAnsi="Calibri"/>
          <w:b/>
          <w:bCs/>
          <w:color w:val="1B2A4A"/>
          <w:sz w:val="60"/>
          <w:szCs w:val="60"/>
        </w:rPr>
        <w:t xml:space="preserve">AI SARKARI SAATHI</w:t>
      </w:r>
    </w:p>
    <w:p>
      <w:pPr>
        <w:spacing w:after="500" w:before="100"/>
        <w:jc w:val="center"/>
      </w:pPr>
      <w:r>
        <w:rPr>
          <w:rFonts w:ascii="Calibri" w:cs="Calibri" w:eastAsia="Calibri" w:hAnsi="Calibri"/>
          <w:b/>
          <w:bCs/>
          <w:i/>
          <w:iCs/>
          <w:color w:val="C25E00"/>
          <w:sz w:val="30"/>
          <w:szCs w:val="30"/>
        </w:rPr>
        <w:t xml:space="preserve">AI-Powered Government Scheme Finder</w:t>
      </w:r>
    </w:p>
    <w:p>
      <w:pPr>
        <w:spacing w:after="200" w:before="200"/>
        <w:jc w:val="center"/>
      </w:pPr>
      <w:r>
        <w:rPr>
          <w:rFonts w:ascii="Calibri" w:cs="Calibri" w:eastAsia="Calibri" w:hAnsi="Calibri"/>
          <w:i/>
          <w:iCs/>
          <w:color w:val="444444"/>
          <w:sz w:val="22"/>
          <w:szCs w:val="22"/>
        </w:rPr>
        <w:t xml:space="preserve">Bridging the gap between citizens and the thousands of Central &amp; State Government schemes they are eligible for — but never knew existed.</w:t>
      </w:r>
    </w:p>
    <w:p>
      <w:pPr>
        <w:spacing w:before="700"/>
      </w:pPr>
      <w: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shd w:fill="F2F2F2" w:val="clear"/>
            <w:tcMar>
              <w:top w:type="dxa" w:w="200"/>
              <w:left w:type="dxa" w:w="300"/>
              <w:bottom w:type="dxa" w:w="200"/>
              <w:right w:type="dxa" w:w="300"/>
            </w:tcMar>
          </w:tcPr>
          <w:p>
            <w:pPr>
              <w:spacing w:after="140"/>
              <w:jc w:val="center"/>
            </w:pPr>
            <w:r>
              <w:rPr>
                <w:rFonts w:ascii="Calibri" w:cs="Calibri" w:eastAsia="Calibri" w:hAnsi="Calibri"/>
                <w:b/>
                <w:bCs/>
                <w:color w:val="1B2A4A"/>
                <w:sz w:val="22"/>
                <w:szCs w:val="22"/>
              </w:rPr>
              <w:t xml:space="preserve">SUBMITTED BY</w:t>
            </w:r>
          </w:p>
          <w:p>
            <w:pPr>
              <w:spacing w:after="60"/>
              <w:jc w:val="center"/>
            </w:pPr>
            <w:r>
              <w:rPr>
                <w:rFonts w:ascii="Calibri" w:cs="Calibri" w:eastAsia="Calibri" w:hAnsi="Calibri"/>
                <w:color w:val="222222"/>
                <w:sz w:val="24"/>
                <w:szCs w:val="24"/>
              </w:rPr>
              <w:t xml:space="preserve">Khushi Singh</w:t>
            </w:r>
            <w:r>
              <w:rPr>
                <w:rFonts w:ascii="Calibri" w:cs="Calibri" w:eastAsia="Calibri" w:hAnsi="Calibri"/>
                <w:color w:val="5B5B5B"/>
                <w:sz w:val="22"/>
                <w:szCs w:val="22"/>
              </w:rPr>
              <w:t xml:space="preserve">   |   Roll No. 261713</w:t>
            </w:r>
          </w:p>
          <w:p>
            <w:pPr>
              <w:spacing w:after="60"/>
              <w:jc w:val="center"/>
            </w:pPr>
            <w:r>
              <w:rPr>
                <w:rFonts w:ascii="Calibri" w:cs="Calibri" w:eastAsia="Calibri" w:hAnsi="Calibri"/>
                <w:color w:val="222222"/>
                <w:sz w:val="24"/>
                <w:szCs w:val="24"/>
              </w:rPr>
              <w:t xml:space="preserve">Mohit Gupta</w:t>
            </w:r>
            <w:r>
              <w:rPr>
                <w:rFonts w:ascii="Calibri" w:cs="Calibri" w:eastAsia="Calibri" w:hAnsi="Calibri"/>
                <w:color w:val="5B5B5B"/>
                <w:sz w:val="22"/>
                <w:szCs w:val="22"/>
              </w:rPr>
              <w:t xml:space="preserve">   |   Roll No. 261715</w:t>
            </w:r>
          </w:p>
          <w:p>
            <w:pPr>
              <w:spacing w:after="0"/>
              <w:jc w:val="center"/>
            </w:pPr>
            <w:r>
              <w:rPr>
                <w:rFonts w:ascii="Calibri" w:cs="Calibri" w:eastAsia="Calibri" w:hAnsi="Calibri"/>
                <w:color w:val="222222"/>
                <w:sz w:val="24"/>
                <w:szCs w:val="24"/>
              </w:rPr>
              <w:t xml:space="preserve">Anshul Singh</w:t>
            </w:r>
            <w:r>
              <w:rPr>
                <w:rFonts w:ascii="Calibri" w:cs="Calibri" w:eastAsia="Calibri" w:hAnsi="Calibri"/>
                <w:color w:val="5B5B5B"/>
                <w:sz w:val="22"/>
                <w:szCs w:val="22"/>
              </w:rPr>
              <w:t xml:space="preserve">   |   Roll No. 261701</w:t>
            </w:r>
          </w:p>
        </w:tc>
      </w:tr>
    </w:tbl>
    <w:p>
      <w:pPr>
        <w:spacing w:before="700"/>
        <w:jc w:val="center"/>
      </w:pPr>
      <w:r>
        <w:rPr>
          <w:rFonts w:ascii="Calibri" w:cs="Calibri" w:eastAsia="Calibri" w:hAnsi="Calibri"/>
          <w:color w:val="5B5B5B"/>
          <w:sz w:val="22"/>
          <w:szCs w:val="22"/>
        </w:rPr>
        <w:t xml:space="preserve">2026</w:t>
      </w:r>
    </w:p>
    <w:p>
      <w:r>
        <w:br w:type="page"/>
      </w:r>
    </w:p>
    <w:p>
      <w:pPr>
        <w:sectPr>
          <w:headerReference w:type="default" r:id="rId7"/>
          <w:footerReference w:type="default" r:id="rId8"/>
          <w:pgSz w:w="12240" w:h="15840" w:orient="portrait"/>
          <w:pgMar w:top="1000" w:right="1200" w:bottom="1000" w:left="1200" w:header="708" w:footer="708" w:gutter="0"/>
          <w:pgNumType/>
          <w:docGrid w:linePitch="360"/>
        </w:sectPr>
      </w:pPr>
    </w:p>
    <w:p>
      <w:pPr>
        <w:pStyle w:val="Heading1"/>
        <w:pBdr>
          <w:bottom w:val="single" w:color="C25E00" w:sz="6" w:space="6"/>
        </w:pBdr>
        <w:spacing w:after="200" w:before="400"/>
      </w:pPr>
      <w:r>
        <w:rPr>
          <w:rFonts w:ascii="Calibri" w:cs="Calibri" w:eastAsia="Calibri" w:hAnsi="Calibri"/>
          <w:b/>
          <w:bCs/>
          <w:color w:val="C25E00"/>
          <w:sz w:val="30"/>
          <w:szCs w:val="30"/>
        </w:rPr>
        <w:t xml:space="preserve">1.  </w:t>
      </w:r>
      <w:r>
        <w:rPr>
          <w:rFonts w:ascii="Calibri" w:cs="Calibri" w:eastAsia="Calibri" w:hAnsi="Calibri"/>
          <w:b/>
          <w:bCs/>
          <w:color w:val="1B2A4A"/>
          <w:sz w:val="30"/>
          <w:szCs w:val="30"/>
        </w:rPr>
        <w:t xml:space="preserve">Problem Statement</w:t>
      </w:r>
    </w:p>
    <w:p>
      <w:pPr>
        <w:spacing w:after="160" w:line="300"/>
        <w:jc w:val="both"/>
      </w:pPr>
      <w:r>
        <w:rPr>
          <w:rFonts w:ascii="Calibri" w:cs="Calibri" w:eastAsia="Calibri" w:hAnsi="Calibri"/>
          <w:color w:val="222222"/>
          <w:sz w:val="22"/>
          <w:szCs w:val="22"/>
        </w:rPr>
        <w:t xml:space="preserve">India runs thousands of Central and State Government welfare schemes covering education, employment, healthcare, agriculture, housing, and financial assistance. Despite this vast ecosystem, a large majority of eligible citizens never benefit from these schemes simply because they are unaware that such schemes exist or apply to their situation.</w:t>
      </w:r>
    </w:p>
    <w:p>
      <w:pPr>
        <w:spacing w:after="160" w:line="300"/>
        <w:jc w:val="both"/>
      </w:pPr>
      <w:r>
        <w:rPr>
          <w:rFonts w:ascii="Calibri" w:cs="Calibri" w:eastAsia="Calibri" w:hAnsi="Calibri"/>
          <w:color w:val="222222"/>
          <w:sz w:val="22"/>
          <w:szCs w:val="22"/>
        </w:rPr>
        <w:t xml:space="preserve">The core issues faced by citizens today are:</w:t>
      </w:r>
    </w:p>
    <w:p>
      <w:pPr>
        <w:pStyle w:val="ListParagraph"/>
        <w:numPr>
          <w:ilvl w:val="0"/>
          <w:numId w:val="2"/>
        </w:numPr>
        <w:spacing w:after="90" w:line="280"/>
      </w:pPr>
      <w:r>
        <w:rPr>
          <w:rFonts w:ascii="Calibri" w:cs="Calibri" w:eastAsia="Calibri" w:hAnsi="Calibri"/>
          <w:b/>
          <w:bCs/>
          <w:color w:val="1B2A4A"/>
          <w:sz w:val="22"/>
          <w:szCs w:val="22"/>
        </w:rPr>
        <w:t xml:space="preserve">Scattered information — </w:t>
      </w:r>
      <w:r>
        <w:rPr>
          <w:rFonts w:ascii="Calibri" w:cs="Calibri" w:eastAsia="Calibri" w:hAnsi="Calibri"/>
          <w:color w:val="222222"/>
          <w:sz w:val="22"/>
          <w:szCs w:val="22"/>
        </w:rPr>
        <w:t xml:space="preserve">scheme details are spread across dozens of disconnected government portals, PDFs, and notices, with no single point of reference.</w:t>
      </w:r>
    </w:p>
    <w:p>
      <w:pPr>
        <w:pStyle w:val="ListParagraph"/>
        <w:numPr>
          <w:ilvl w:val="0"/>
          <w:numId w:val="2"/>
        </w:numPr>
        <w:spacing w:after="90" w:line="280"/>
      </w:pPr>
      <w:r>
        <w:rPr>
          <w:rFonts w:ascii="Calibri" w:cs="Calibri" w:eastAsia="Calibri" w:hAnsi="Calibri"/>
          <w:b/>
          <w:bCs/>
          <w:color w:val="1B2A4A"/>
          <w:sz w:val="22"/>
          <w:szCs w:val="22"/>
        </w:rPr>
        <w:t xml:space="preserve">Confusing government websites — </w:t>
      </w:r>
      <w:r>
        <w:rPr>
          <w:rFonts w:ascii="Calibri" w:cs="Calibri" w:eastAsia="Calibri" w:hAnsi="Calibri"/>
          <w:color w:val="222222"/>
          <w:sz w:val="22"/>
          <w:szCs w:val="22"/>
        </w:rPr>
        <w:t xml:space="preserve">official portals are often text-heavy, poorly structured, and not designed for an average citizen to navigate easily.</w:t>
      </w:r>
    </w:p>
    <w:p>
      <w:pPr>
        <w:pStyle w:val="ListParagraph"/>
        <w:numPr>
          <w:ilvl w:val="0"/>
          <w:numId w:val="2"/>
        </w:numPr>
        <w:spacing w:after="90" w:line="280"/>
      </w:pPr>
      <w:r>
        <w:rPr>
          <w:rFonts w:ascii="Calibri" w:cs="Calibri" w:eastAsia="Calibri" w:hAnsi="Calibri"/>
          <w:b/>
          <w:bCs/>
          <w:color w:val="1B2A4A"/>
          <w:sz w:val="22"/>
          <w:szCs w:val="22"/>
        </w:rPr>
        <w:t xml:space="preserve">Complex eligibility conditions — </w:t>
      </w:r>
      <w:r>
        <w:rPr>
          <w:rFonts w:ascii="Calibri" w:cs="Calibri" w:eastAsia="Calibri" w:hAnsi="Calibri"/>
          <w:color w:val="222222"/>
          <w:sz w:val="22"/>
          <w:szCs w:val="22"/>
        </w:rPr>
        <w:t xml:space="preserve">eligibility criteria are written in legal or bureaucratic language that is difficult for a layperson to interpret correctly.</w:t>
      </w:r>
    </w:p>
    <w:p>
      <w:pPr>
        <w:pStyle w:val="ListParagraph"/>
        <w:numPr>
          <w:ilvl w:val="0"/>
          <w:numId w:val="2"/>
        </w:numPr>
        <w:spacing w:after="90" w:line="280"/>
      </w:pPr>
      <w:r>
        <w:rPr>
          <w:rFonts w:ascii="Calibri" w:cs="Calibri" w:eastAsia="Calibri" w:hAnsi="Calibri"/>
          <w:b/>
          <w:bCs/>
          <w:color w:val="1B2A4A"/>
          <w:sz w:val="22"/>
          <w:szCs w:val="22"/>
        </w:rPr>
        <w:t xml:space="preserve">Lack of clarity on documentation — </w:t>
      </w:r>
      <w:r>
        <w:rPr>
          <w:rFonts w:ascii="Calibri" w:cs="Calibri" w:eastAsia="Calibri" w:hAnsi="Calibri"/>
          <w:color w:val="222222"/>
          <w:sz w:val="22"/>
          <w:szCs w:val="22"/>
        </w:rPr>
        <w:t xml:space="preserve">citizens frequently do not know which documents are required until after starting the application, causing delays and rejections.</w:t>
      </w:r>
    </w:p>
    <w:p>
      <w:pPr>
        <w:pStyle w:val="ListParagraph"/>
        <w:numPr>
          <w:ilvl w:val="0"/>
          <w:numId w:val="2"/>
        </w:numPr>
        <w:spacing w:after="90" w:line="280"/>
      </w:pPr>
      <w:r>
        <w:rPr>
          <w:rFonts w:ascii="Calibri" w:cs="Calibri" w:eastAsia="Calibri" w:hAnsi="Calibri"/>
          <w:b/>
          <w:bCs/>
          <w:color w:val="1B2A4A"/>
          <w:sz w:val="22"/>
          <w:szCs w:val="22"/>
        </w:rPr>
        <w:t xml:space="preserve">No clear application path — </w:t>
      </w:r>
      <w:r>
        <w:rPr>
          <w:rFonts w:ascii="Calibri" w:cs="Calibri" w:eastAsia="Calibri" w:hAnsi="Calibri"/>
          <w:color w:val="222222"/>
          <w:sz w:val="22"/>
          <w:szCs w:val="22"/>
        </w:rPr>
        <w:t xml:space="preserve">even when a citizen identifies a relevant scheme, they often do not know where or how to apply.</w:t>
      </w:r>
    </w:p>
    <w:p>
      <w:pPr>
        <w:spacing w:after="160" w:line="300"/>
        <w:jc w:val="both"/>
      </w:pPr>
      <w:r>
        <w:rPr>
          <w:rFonts w:ascii="Calibri" w:cs="Calibri" w:eastAsia="Calibri" w:hAnsi="Calibri"/>
          <w:color w:val="222222"/>
          <w:sz w:val="22"/>
          <w:szCs w:val="22"/>
        </w:rPr>
        <w:t xml:space="preserve">As a result, welfare benefits meant for the public frequently go unclaimed, while citizens who need them most — students, farmers, low-income families, and small business owners — remain excluded due to an information gap rather than actual ineligibility.</w:t>
      </w:r>
    </w:p>
    <w:p>
      <w:pPr>
        <w:pStyle w:val="Heading1"/>
        <w:pBdr>
          <w:bottom w:val="single" w:color="C25E00" w:sz="6" w:space="6"/>
        </w:pBdr>
        <w:spacing w:after="200" w:before="400"/>
      </w:pPr>
      <w:r>
        <w:rPr>
          <w:rFonts w:ascii="Calibri" w:cs="Calibri" w:eastAsia="Calibri" w:hAnsi="Calibri"/>
          <w:b/>
          <w:bCs/>
          <w:color w:val="C25E00"/>
          <w:sz w:val="30"/>
          <w:szCs w:val="30"/>
        </w:rPr>
        <w:t xml:space="preserve">2.  </w:t>
      </w:r>
      <w:r>
        <w:rPr>
          <w:rFonts w:ascii="Calibri" w:cs="Calibri" w:eastAsia="Calibri" w:hAnsi="Calibri"/>
          <w:b/>
          <w:bCs/>
          <w:color w:val="1B2A4A"/>
          <w:sz w:val="30"/>
          <w:szCs w:val="30"/>
        </w:rPr>
        <w:t xml:space="preserve">Objective</w:t>
      </w:r>
    </w:p>
    <w:p>
      <w:pPr>
        <w:spacing w:after="160" w:line="300"/>
        <w:jc w:val="both"/>
      </w:pPr>
      <w:r>
        <w:rPr>
          <w:rFonts w:ascii="Calibri" w:cs="Calibri" w:eastAsia="Calibri" w:hAnsi="Calibri"/>
          <w:color w:val="222222"/>
          <w:sz w:val="22"/>
          <w:szCs w:val="22"/>
        </w:rPr>
        <w:t xml:space="preserve">The primary objective of AI Sarkari Saathi is to remove the information barrier between citizens and government schemes by using conversational AI to instantly match a person's real-life situation to the schemes they qualify for. Specific objectives include:</w:t>
      </w:r>
    </w:p>
    <w:p>
      <w:pPr>
        <w:pStyle w:val="ListParagraph"/>
        <w:numPr>
          <w:ilvl w:val="0"/>
          <w:numId w:val="2"/>
        </w:numPr>
        <w:spacing w:after="90" w:line="280"/>
      </w:pPr>
      <w:r>
        <w:rPr>
          <w:rFonts w:ascii="Calibri" w:cs="Calibri" w:eastAsia="Calibri" w:hAnsi="Calibri"/>
          <w:color w:val="222222"/>
          <w:sz w:val="22"/>
          <w:szCs w:val="22"/>
        </w:rPr>
        <w:t xml:space="preserve">To allow users to describe their situation in plain, natural language instead of filling long forms.</w:t>
      </w:r>
    </w:p>
    <w:p>
      <w:pPr>
        <w:pStyle w:val="ListParagraph"/>
        <w:numPr>
          <w:ilvl w:val="0"/>
          <w:numId w:val="2"/>
        </w:numPr>
        <w:spacing w:after="90" w:line="280"/>
      </w:pPr>
      <w:r>
        <w:rPr>
          <w:rFonts w:ascii="Calibri" w:cs="Calibri" w:eastAsia="Calibri" w:hAnsi="Calibri"/>
          <w:color w:val="222222"/>
          <w:sz w:val="22"/>
          <w:szCs w:val="22"/>
        </w:rPr>
        <w:t xml:space="preserve">To use AI to interpret this information and match it against real eligibility rules of Government schemes.</w:t>
      </w:r>
    </w:p>
    <w:p>
      <w:pPr>
        <w:pStyle w:val="ListParagraph"/>
        <w:numPr>
          <w:ilvl w:val="0"/>
          <w:numId w:val="2"/>
        </w:numPr>
        <w:spacing w:after="90" w:line="280"/>
      </w:pPr>
      <w:r>
        <w:rPr>
          <w:rFonts w:ascii="Calibri" w:cs="Calibri" w:eastAsia="Calibri" w:hAnsi="Calibri"/>
          <w:color w:val="222222"/>
          <w:sz w:val="22"/>
          <w:szCs w:val="22"/>
        </w:rPr>
        <w:t xml:space="preserve">To present eligible schemes along with a clear explanation of why the user qualifies.</w:t>
      </w:r>
    </w:p>
    <w:p>
      <w:pPr>
        <w:pStyle w:val="ListParagraph"/>
        <w:numPr>
          <w:ilvl w:val="0"/>
          <w:numId w:val="2"/>
        </w:numPr>
        <w:spacing w:after="90" w:line="280"/>
      </w:pPr>
      <w:r>
        <w:rPr>
          <w:rFonts w:ascii="Calibri" w:cs="Calibri" w:eastAsia="Calibri" w:hAnsi="Calibri"/>
          <w:color w:val="222222"/>
          <w:sz w:val="22"/>
          <w:szCs w:val="22"/>
        </w:rPr>
        <w:t xml:space="preserve">To list the exact benefits, required documents, and official application links for each matched scheme.</w:t>
      </w:r>
    </w:p>
    <w:p>
      <w:pPr>
        <w:pStyle w:val="ListParagraph"/>
        <w:numPr>
          <w:ilvl w:val="0"/>
          <w:numId w:val="2"/>
        </w:numPr>
        <w:spacing w:after="90" w:line="280"/>
      </w:pPr>
      <w:r>
        <w:rPr>
          <w:rFonts w:ascii="Calibri" w:cs="Calibri" w:eastAsia="Calibri" w:hAnsi="Calibri"/>
          <w:color w:val="222222"/>
          <w:sz w:val="22"/>
          <w:szCs w:val="22"/>
        </w:rPr>
        <w:t xml:space="preserve">To generate a simple, actionable checklist so users know exactly what to do next.</w:t>
      </w:r>
    </w:p>
    <w:p>
      <w:pPr>
        <w:pStyle w:val="ListParagraph"/>
        <w:numPr>
          <w:ilvl w:val="0"/>
          <w:numId w:val="2"/>
        </w:numPr>
        <w:spacing w:after="90" w:line="280"/>
      </w:pPr>
      <w:r>
        <w:rPr>
          <w:rFonts w:ascii="Calibri" w:cs="Calibri" w:eastAsia="Calibri" w:hAnsi="Calibri"/>
          <w:color w:val="222222"/>
          <w:sz w:val="22"/>
          <w:szCs w:val="22"/>
        </w:rPr>
        <w:t xml:space="preserve">To make scheme discovery accessible to citizens regardless of their digital literacy level.</w:t>
      </w:r>
    </w:p>
    <w:p>
      <w:pPr>
        <w:pStyle w:val="ListParagraph"/>
        <w:numPr>
          <w:ilvl w:val="0"/>
          <w:numId w:val="2"/>
        </w:numPr>
        <w:spacing w:after="90" w:line="280"/>
      </w:pPr>
      <w:r>
        <w:rPr>
          <w:rFonts w:ascii="Calibri" w:cs="Calibri" w:eastAsia="Calibri" w:hAnsi="Calibri"/>
          <w:color w:val="222222"/>
          <w:sz w:val="22"/>
          <w:szCs w:val="22"/>
        </w:rPr>
        <w:t xml:space="preserve">To build a scalable system that can be extended to cover new schemes as they are introduced.</w:t>
      </w:r>
    </w:p>
    <w:p>
      <w:pPr>
        <w:pStyle w:val="Heading1"/>
        <w:pBdr>
          <w:bottom w:val="single" w:color="C25E00" w:sz="6" w:space="6"/>
        </w:pBdr>
        <w:spacing w:after="200" w:before="400"/>
      </w:pPr>
      <w:r>
        <w:rPr>
          <w:rFonts w:ascii="Calibri" w:cs="Calibri" w:eastAsia="Calibri" w:hAnsi="Calibri"/>
          <w:b/>
          <w:bCs/>
          <w:color w:val="C25E00"/>
          <w:sz w:val="30"/>
          <w:szCs w:val="30"/>
        </w:rPr>
        <w:t xml:space="preserve">3.  </w:t>
      </w:r>
      <w:r>
        <w:rPr>
          <w:rFonts w:ascii="Calibri" w:cs="Calibri" w:eastAsia="Calibri" w:hAnsi="Calibri"/>
          <w:b/>
          <w:bCs/>
          <w:color w:val="1B2A4A"/>
          <w:sz w:val="30"/>
          <w:szCs w:val="30"/>
        </w:rPr>
        <w:t xml:space="preserve">Proposed Solution</w:t>
      </w:r>
    </w:p>
    <w:p>
      <w:pPr>
        <w:spacing w:after="160" w:line="300"/>
        <w:jc w:val="both"/>
      </w:pPr>
      <w:r>
        <w:rPr>
          <w:rFonts w:ascii="Calibri" w:cs="Calibri" w:eastAsia="Calibri" w:hAnsi="Calibri"/>
          <w:color w:val="222222"/>
          <w:sz w:val="22"/>
          <w:szCs w:val="22"/>
        </w:rPr>
        <w:t xml:space="preserve">AI Sarkari Saathi works like a conversational assistant — similar in experience to ChatGPT — but purpose-built and specialized for Government scheme discovery. Instead of requiring users to search through portals or fill lengthy application forms, the platform allows them to simply describe themselves in everyday language.</w:t>
      </w:r>
    </w:p>
    <w:p>
      <w:pPr>
        <w:spacing w:after="160" w:line="300"/>
        <w:jc w:val="both"/>
      </w:pPr>
      <w:r>
        <w:rPr>
          <w:rFonts w:ascii="Calibri" w:cs="Calibri" w:eastAsia="Calibri" w:hAnsi="Calibri"/>
          <w:color w:val="222222"/>
          <w:sz w:val="22"/>
          <w:szCs w:val="22"/>
        </w:rPr>
        <w:t xml:space="preserve">For example, a user may type:</w:t>
      </w:r>
    </w:p>
    <w:p>
      <w:pPr>
        <w:spacing w:after="80"/>
        <w:ind w:left="576"/>
      </w:pPr>
      <w:r>
        <w:rPr>
          <w:rFonts w:ascii="Calibri" w:cs="Calibri" w:eastAsia="Calibri" w:hAnsi="Calibri"/>
          <w:i/>
          <w:iCs/>
          <w:color w:val="1E6B3C"/>
          <w:sz w:val="22"/>
          <w:szCs w:val="22"/>
        </w:rPr>
        <w:t xml:space="preserve">“I am 21 years old.”</w:t>
      </w:r>
    </w:p>
    <w:p>
      <w:pPr>
        <w:spacing w:after="80"/>
        <w:ind w:left="576"/>
      </w:pPr>
      <w:r>
        <w:rPr>
          <w:rFonts w:ascii="Calibri" w:cs="Calibri" w:eastAsia="Calibri" w:hAnsi="Calibri"/>
          <w:i/>
          <w:iCs/>
          <w:color w:val="1E6B3C"/>
          <w:sz w:val="22"/>
          <w:szCs w:val="22"/>
        </w:rPr>
        <w:t xml:space="preserve">“I live in Maharashtra.”</w:t>
      </w:r>
    </w:p>
    <w:p>
      <w:pPr>
        <w:spacing w:after="80"/>
        <w:ind w:left="576"/>
      </w:pPr>
      <w:r>
        <w:rPr>
          <w:rFonts w:ascii="Calibri" w:cs="Calibri" w:eastAsia="Calibri" w:hAnsi="Calibri"/>
          <w:i/>
          <w:iCs/>
          <w:color w:val="1E6B3C"/>
          <w:sz w:val="22"/>
          <w:szCs w:val="22"/>
        </w:rPr>
        <w:t xml:space="preserve">“My family income is ₹3 lakh.”</w:t>
      </w:r>
    </w:p>
    <w:p>
      <w:pPr>
        <w:spacing w:after="200"/>
        <w:ind w:left="576"/>
      </w:pPr>
      <w:r>
        <w:rPr>
          <w:rFonts w:ascii="Calibri" w:cs="Calibri" w:eastAsia="Calibri" w:hAnsi="Calibri"/>
          <w:i/>
          <w:iCs/>
          <w:color w:val="1E6B3C"/>
          <w:sz w:val="22"/>
          <w:szCs w:val="22"/>
        </w:rPr>
        <w:t xml:space="preserve">“I am a student.”</w:t>
      </w:r>
    </w:p>
    <w:p>
      <w:pPr>
        <w:spacing w:after="160" w:line="300"/>
        <w:jc w:val="both"/>
      </w:pPr>
      <w:r>
        <w:rPr>
          <w:rFonts w:ascii="Calibri" w:cs="Calibri" w:eastAsia="Calibri" w:hAnsi="Calibri"/>
          <w:color w:val="222222"/>
          <w:sz w:val="22"/>
          <w:szCs w:val="22"/>
        </w:rPr>
        <w:t xml:space="preserve">The AI engine parses this natural-language input, extracts structured attributes (age, state, income, occupation, category, etc.), and cross-references them against a curated database of scheme eligibility rules sourced from official Government Open Data platforms. The system then returns a personalised, ranked response containing:</w:t>
      </w:r>
    </w:p>
    <w:p>
      <w:pPr>
        <w:pStyle w:val="ListParagraph"/>
        <w:numPr>
          <w:ilvl w:val="0"/>
          <w:numId w:val="2"/>
        </w:numPr>
        <w:spacing w:after="90" w:line="280"/>
      </w:pPr>
      <w:r>
        <w:rPr>
          <w:rFonts w:ascii="Calibri" w:cs="Calibri" w:eastAsia="Calibri" w:hAnsi="Calibri"/>
          <w:color w:val="222222"/>
          <w:sz w:val="22"/>
          <w:szCs w:val="22"/>
        </w:rPr>
        <w:t xml:space="preserve">The list of schemes the user is eligible for.</w:t>
      </w:r>
    </w:p>
    <w:p>
      <w:pPr>
        <w:pStyle w:val="ListParagraph"/>
        <w:numPr>
          <w:ilvl w:val="0"/>
          <w:numId w:val="2"/>
        </w:numPr>
        <w:spacing w:after="90" w:line="280"/>
      </w:pPr>
      <w:r>
        <w:rPr>
          <w:rFonts w:ascii="Calibri" w:cs="Calibri" w:eastAsia="Calibri" w:hAnsi="Calibri"/>
          <w:color w:val="222222"/>
          <w:sz w:val="22"/>
          <w:szCs w:val="22"/>
        </w:rPr>
        <w:t xml:space="preserve">A plain-language explanation of why the user qualifies for each scheme.</w:t>
      </w:r>
    </w:p>
    <w:p>
      <w:pPr>
        <w:pStyle w:val="ListParagraph"/>
        <w:numPr>
          <w:ilvl w:val="0"/>
          <w:numId w:val="2"/>
        </w:numPr>
        <w:spacing w:after="90" w:line="280"/>
      </w:pPr>
      <w:r>
        <w:rPr>
          <w:rFonts w:ascii="Calibri" w:cs="Calibri" w:eastAsia="Calibri" w:hAnsi="Calibri"/>
          <w:color w:val="222222"/>
          <w:sz w:val="22"/>
          <w:szCs w:val="22"/>
        </w:rPr>
        <w:t xml:space="preserve">The specific benefits offered under each scheme.</w:t>
      </w:r>
    </w:p>
    <w:p>
      <w:pPr>
        <w:pStyle w:val="ListParagraph"/>
        <w:numPr>
          <w:ilvl w:val="0"/>
          <w:numId w:val="2"/>
        </w:numPr>
        <w:spacing w:after="90" w:line="280"/>
      </w:pPr>
      <w:r>
        <w:rPr>
          <w:rFonts w:ascii="Calibri" w:cs="Calibri" w:eastAsia="Calibri" w:hAnsi="Calibri"/>
          <w:color w:val="222222"/>
          <w:sz w:val="22"/>
          <w:szCs w:val="22"/>
        </w:rPr>
        <w:t xml:space="preserve">The exact documents required to apply.</w:t>
      </w:r>
    </w:p>
    <w:p>
      <w:pPr>
        <w:pStyle w:val="ListParagraph"/>
        <w:numPr>
          <w:ilvl w:val="0"/>
          <w:numId w:val="2"/>
        </w:numPr>
        <w:spacing w:after="90" w:line="280"/>
      </w:pPr>
      <w:r>
        <w:rPr>
          <w:rFonts w:ascii="Calibri" w:cs="Calibri" w:eastAsia="Calibri" w:hAnsi="Calibri"/>
          <w:color w:val="222222"/>
          <w:sz w:val="22"/>
          <w:szCs w:val="22"/>
        </w:rPr>
        <w:t xml:space="preserve">Direct links to the official application portal.</w:t>
      </w:r>
    </w:p>
    <w:p>
      <w:pPr>
        <w:pStyle w:val="ListParagraph"/>
        <w:numPr>
          <w:ilvl w:val="0"/>
          <w:numId w:val="2"/>
        </w:numPr>
        <w:spacing w:after="90" w:line="280"/>
      </w:pPr>
      <w:r>
        <w:rPr>
          <w:rFonts w:ascii="Calibri" w:cs="Calibri" w:eastAsia="Calibri" w:hAnsi="Calibri"/>
          <w:color w:val="222222"/>
          <w:sz w:val="22"/>
          <w:szCs w:val="22"/>
        </w:rPr>
        <w:t xml:space="preserve">A ready-to-use checklist summarising the next steps.</w:t>
      </w:r>
    </w:p>
    <w:p>
      <w:pPr>
        <w:spacing w:after="160" w:line="300"/>
        <w:jc w:val="both"/>
      </w:pPr>
      <w:r>
        <w:rPr>
          <w:rFonts w:ascii="Calibri" w:cs="Calibri" w:eastAsia="Calibri" w:hAnsi="Calibri"/>
          <w:color w:val="222222"/>
          <w:sz w:val="22"/>
          <w:szCs w:val="22"/>
        </w:rPr>
        <w:t xml:space="preserve">This transforms scheme discovery from a manual, frustrating search process into a guided, five-minute conversation — making government welfare genuinely accessible to every citizen.</w:t>
      </w:r>
    </w:p>
    <w:p>
      <w:pPr>
        <w:pStyle w:val="Heading1"/>
        <w:pBdr>
          <w:bottom w:val="single" w:color="C25E00" w:sz="6" w:space="6"/>
        </w:pBdr>
        <w:spacing w:after="200" w:before="400"/>
      </w:pPr>
      <w:r>
        <w:rPr>
          <w:rFonts w:ascii="Calibri" w:cs="Calibri" w:eastAsia="Calibri" w:hAnsi="Calibri"/>
          <w:b/>
          <w:bCs/>
          <w:color w:val="C25E00"/>
          <w:sz w:val="30"/>
          <w:szCs w:val="30"/>
        </w:rPr>
        <w:t xml:space="preserve">4.  </w:t>
      </w:r>
      <w:r>
        <w:rPr>
          <w:rFonts w:ascii="Calibri" w:cs="Calibri" w:eastAsia="Calibri" w:hAnsi="Calibri"/>
          <w:b/>
          <w:bCs/>
          <w:color w:val="1B2A4A"/>
          <w:sz w:val="30"/>
          <w:szCs w:val="30"/>
        </w:rPr>
        <w:t xml:space="preserve">Technology Stack</w:t>
      </w:r>
    </w:p>
    <w:p>
      <w:pPr>
        <w:spacing w:after="160" w:line="300"/>
        <w:jc w:val="both"/>
      </w:pPr>
      <w:r>
        <w:rPr>
          <w:rFonts w:ascii="Calibri" w:cs="Calibri" w:eastAsia="Calibri" w:hAnsi="Calibri"/>
          <w:color w:val="222222"/>
          <w:sz w:val="22"/>
          <w:szCs w:val="22"/>
        </w:rPr>
        <w:t xml:space="preserve">The platform is built on a robust, industry-standard Java-based full stack, combined with modern AI and government data sources.</w:t>
      </w:r>
    </w:p>
    <w:p>
      <w:pPr>
        <w:pStyle w:val="Heading2"/>
        <w:spacing w:after="120" w:before="260"/>
      </w:pPr>
      <w:r>
        <w:rPr>
          <w:rFonts w:ascii="Calibri" w:cs="Calibri" w:eastAsia="Calibri" w:hAnsi="Calibri"/>
          <w:b/>
          <w:bCs/>
          <w:color w:val="1E6B3C"/>
          <w:sz w:val="24"/>
          <w:szCs w:val="24"/>
        </w:rPr>
        <w:t xml:space="preserve">Frontend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rPr>
          <w:tblHeader/>
        </w:trPr>
        <w:tc>
          <w:tcPr>
            <w:tcW w:type="dxa" w:w="3000"/>
            <w:shd w:fill="1B2A4A" w:val="clear"/>
            <w:tcMar>
              <w:top w:type="dxa" w:w="100"/>
              <w:left w:type="dxa" w:w="120"/>
              <w:bottom w:type="dxa" w:w="100"/>
              <w:right w:type="dxa" w:w="120"/>
            </w:tcMar>
            <w:vAlign w:val="center"/>
          </w:tcPr>
          <w:p>
            <w:r>
              <w:rPr>
                <w:rFonts w:ascii="Calibri" w:cs="Calibri" w:eastAsia="Calibri" w:hAnsi="Calibri"/>
                <w:b/>
                <w:bCs/>
                <w:color w:val="FFFFFF"/>
                <w:sz w:val="22"/>
                <w:szCs w:val="22"/>
              </w:rPr>
              <w:t xml:space="preserve">Technology</w:t>
            </w:r>
          </w:p>
        </w:tc>
        <w:tc>
          <w:tcPr>
            <w:tcW w:type="dxa" w:w="6800"/>
            <w:shd w:fill="1B2A4A" w:val="clear"/>
            <w:tcMar>
              <w:top w:type="dxa" w:w="100"/>
              <w:left w:type="dxa" w:w="120"/>
              <w:bottom w:type="dxa" w:w="100"/>
              <w:right w:type="dxa" w:w="120"/>
            </w:tcMar>
            <w:vAlign w:val="center"/>
          </w:tcPr>
          <w:p>
            <w:r>
              <w:rPr>
                <w:rFonts w:ascii="Calibri" w:cs="Calibri" w:eastAsia="Calibri" w:hAnsi="Calibri"/>
                <w:b/>
                <w:bCs/>
                <w:color w:val="FFFFFF"/>
                <w:sz w:val="22"/>
                <w:szCs w:val="22"/>
              </w:rPr>
              <w:t xml:space="preserve">Purpose</w:t>
            </w:r>
          </w:p>
        </w:tc>
      </w:tr>
      <w:tr>
        <w:tc>
          <w:tcPr>
            <w:tcW w:type="dxa" w:w="30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React.js</w:t>
            </w:r>
          </w:p>
        </w:tc>
        <w:tc>
          <w:tcPr>
            <w:tcW w:type="dxa" w:w="68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Core UI library for building a dynamic, component-based interface</w:t>
            </w:r>
          </w:p>
        </w:tc>
      </w:tr>
      <w:tr>
        <w:tc>
          <w:tcPr>
            <w:tcW w:type="dxa" w:w="3000"/>
            <w:shd w:fill="F2F2F2"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HTML5</w:t>
            </w:r>
          </w:p>
        </w:tc>
        <w:tc>
          <w:tcPr>
            <w:tcW w:type="dxa" w:w="6800"/>
            <w:shd w:fill="F2F2F2"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Semantic structuring of web content</w:t>
            </w:r>
          </w:p>
        </w:tc>
      </w:tr>
      <w:tr>
        <w:tc>
          <w:tcPr>
            <w:tcW w:type="dxa" w:w="30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CSS3</w:t>
            </w:r>
          </w:p>
        </w:tc>
        <w:tc>
          <w:tcPr>
            <w:tcW w:type="dxa" w:w="68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Styling and layout</w:t>
            </w:r>
          </w:p>
        </w:tc>
      </w:tr>
      <w:tr>
        <w:tc>
          <w:tcPr>
            <w:tcW w:type="dxa" w:w="3000"/>
            <w:shd w:fill="F2F2F2"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JavaScript</w:t>
            </w:r>
          </w:p>
        </w:tc>
        <w:tc>
          <w:tcPr>
            <w:tcW w:type="dxa" w:w="6800"/>
            <w:shd w:fill="F2F2F2"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Client-side interactivity and logic</w:t>
            </w:r>
          </w:p>
        </w:tc>
      </w:tr>
      <w:tr>
        <w:tc>
          <w:tcPr>
            <w:tcW w:type="dxa" w:w="30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Bootstrap</w:t>
            </w:r>
          </w:p>
        </w:tc>
        <w:tc>
          <w:tcPr>
            <w:tcW w:type="dxa" w:w="68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Responsive design framework</w:t>
            </w:r>
          </w:p>
        </w:tc>
      </w:tr>
      <w:tr>
        <w:tc>
          <w:tcPr>
            <w:tcW w:type="dxa" w:w="3000"/>
            <w:shd w:fill="F2F2F2"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Axios</w:t>
            </w:r>
          </w:p>
        </w:tc>
        <w:tc>
          <w:tcPr>
            <w:tcW w:type="dxa" w:w="6800"/>
            <w:shd w:fill="F2F2F2"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Handling HTTP requests to backend REST APIs</w:t>
            </w:r>
          </w:p>
        </w:tc>
      </w:tr>
      <w:tr>
        <w:tc>
          <w:tcPr>
            <w:tcW w:type="dxa" w:w="30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React Router</w:t>
            </w:r>
          </w:p>
        </w:tc>
        <w:tc>
          <w:tcPr>
            <w:tcW w:type="dxa" w:w="68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Client-side page navigation and routing</w:t>
            </w:r>
          </w:p>
        </w:tc>
      </w:tr>
    </w:tbl>
    <w:p>
      <w:pPr>
        <w:pStyle w:val="Heading2"/>
        <w:spacing w:after="120" w:before="260"/>
      </w:pPr>
      <w:r>
        <w:rPr>
          <w:rFonts w:ascii="Calibri" w:cs="Calibri" w:eastAsia="Calibri" w:hAnsi="Calibri"/>
          <w:b/>
          <w:bCs/>
          <w:color w:val="1E6B3C"/>
          <w:sz w:val="24"/>
          <w:szCs w:val="24"/>
        </w:rPr>
        <w:t xml:space="preserve">Backend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rPr>
          <w:tblHeader/>
        </w:trPr>
        <w:tc>
          <w:tcPr>
            <w:tcW w:type="dxa" w:w="3000"/>
            <w:shd w:fill="1B2A4A" w:val="clear"/>
            <w:tcMar>
              <w:top w:type="dxa" w:w="100"/>
              <w:left w:type="dxa" w:w="120"/>
              <w:bottom w:type="dxa" w:w="100"/>
              <w:right w:type="dxa" w:w="120"/>
            </w:tcMar>
            <w:vAlign w:val="center"/>
          </w:tcPr>
          <w:p>
            <w:r>
              <w:rPr>
                <w:rFonts w:ascii="Calibri" w:cs="Calibri" w:eastAsia="Calibri" w:hAnsi="Calibri"/>
                <w:b/>
                <w:bCs/>
                <w:color w:val="FFFFFF"/>
                <w:sz w:val="22"/>
                <w:szCs w:val="22"/>
              </w:rPr>
              <w:t xml:space="preserve">Technology</w:t>
            </w:r>
          </w:p>
        </w:tc>
        <w:tc>
          <w:tcPr>
            <w:tcW w:type="dxa" w:w="6800"/>
            <w:shd w:fill="1B2A4A" w:val="clear"/>
            <w:tcMar>
              <w:top w:type="dxa" w:w="100"/>
              <w:left w:type="dxa" w:w="120"/>
              <w:bottom w:type="dxa" w:w="100"/>
              <w:right w:type="dxa" w:w="120"/>
            </w:tcMar>
            <w:vAlign w:val="center"/>
          </w:tcPr>
          <w:p>
            <w:r>
              <w:rPr>
                <w:rFonts w:ascii="Calibri" w:cs="Calibri" w:eastAsia="Calibri" w:hAnsi="Calibri"/>
                <w:b/>
                <w:bCs/>
                <w:color w:val="FFFFFF"/>
                <w:sz w:val="22"/>
                <w:szCs w:val="22"/>
              </w:rPr>
              <w:t xml:space="preserve">Purpose</w:t>
            </w:r>
          </w:p>
        </w:tc>
      </w:tr>
      <w:tr>
        <w:tc>
          <w:tcPr>
            <w:tcW w:type="dxa" w:w="30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Java EE</w:t>
            </w:r>
          </w:p>
        </w:tc>
        <w:tc>
          <w:tcPr>
            <w:tcW w:type="dxa" w:w="68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Enterprise-grade backend application development</w:t>
            </w:r>
          </w:p>
        </w:tc>
      </w:tr>
      <w:tr>
        <w:tc>
          <w:tcPr>
            <w:tcW w:type="dxa" w:w="3000"/>
            <w:shd w:fill="F2F2F2"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Advanced Java</w:t>
            </w:r>
          </w:p>
        </w:tc>
        <w:tc>
          <w:tcPr>
            <w:tcW w:type="dxa" w:w="6800"/>
            <w:shd w:fill="F2F2F2"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Core server-side business logic</w:t>
            </w:r>
          </w:p>
        </w:tc>
      </w:tr>
      <w:tr>
        <w:tc>
          <w:tcPr>
            <w:tcW w:type="dxa" w:w="30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Servlet</w:t>
            </w:r>
          </w:p>
        </w:tc>
        <w:tc>
          <w:tcPr>
            <w:tcW w:type="dxa" w:w="68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Handling HTTP requests and responses</w:t>
            </w:r>
          </w:p>
        </w:tc>
      </w:tr>
      <w:tr>
        <w:tc>
          <w:tcPr>
            <w:tcW w:type="dxa" w:w="3000"/>
            <w:shd w:fill="F2F2F2"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JSP</w:t>
            </w:r>
          </w:p>
        </w:tc>
        <w:tc>
          <w:tcPr>
            <w:tcW w:type="dxa" w:w="6800"/>
            <w:shd w:fill="F2F2F2"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Dynamic server-side page rendering where required</w:t>
            </w:r>
          </w:p>
        </w:tc>
      </w:tr>
      <w:tr>
        <w:tc>
          <w:tcPr>
            <w:tcW w:type="dxa" w:w="30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JDBC</w:t>
            </w:r>
          </w:p>
        </w:tc>
        <w:tc>
          <w:tcPr>
            <w:tcW w:type="dxa" w:w="68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Database connectivity and query execution</w:t>
            </w:r>
          </w:p>
        </w:tc>
      </w:tr>
      <w:tr>
        <w:tc>
          <w:tcPr>
            <w:tcW w:type="dxa" w:w="3000"/>
            <w:shd w:fill="F2F2F2"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Hibernate</w:t>
            </w:r>
          </w:p>
        </w:tc>
        <w:tc>
          <w:tcPr>
            <w:tcW w:type="dxa" w:w="6800"/>
            <w:shd w:fill="F2F2F2"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Object-Relational Mapping (ORM) for data persistence</w:t>
            </w:r>
          </w:p>
        </w:tc>
      </w:tr>
      <w:tr>
        <w:tc>
          <w:tcPr>
            <w:tcW w:type="dxa" w:w="30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Spring Framework</w:t>
            </w:r>
          </w:p>
        </w:tc>
        <w:tc>
          <w:tcPr>
            <w:tcW w:type="dxa" w:w="68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Dependency injection and application structuring (optional, as required)</w:t>
            </w:r>
          </w:p>
        </w:tc>
      </w:tr>
      <w:tr>
        <w:tc>
          <w:tcPr>
            <w:tcW w:type="dxa" w:w="3000"/>
            <w:shd w:fill="F2F2F2"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REST API</w:t>
            </w:r>
          </w:p>
        </w:tc>
        <w:tc>
          <w:tcPr>
            <w:tcW w:type="dxa" w:w="6800"/>
            <w:shd w:fill="F2F2F2"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Communication layer between frontend and backend</w:t>
            </w:r>
          </w:p>
        </w:tc>
      </w:tr>
    </w:tbl>
    <w:p>
      <w:pPr>
        <w:pStyle w:val="Heading2"/>
        <w:spacing w:after="120" w:before="260"/>
      </w:pPr>
      <w:r>
        <w:rPr>
          <w:rFonts w:ascii="Calibri" w:cs="Calibri" w:eastAsia="Calibri" w:hAnsi="Calibri"/>
          <w:b/>
          <w:bCs/>
          <w:color w:val="1E6B3C"/>
          <w:sz w:val="24"/>
          <w:szCs w:val="24"/>
        </w:rPr>
        <w:t xml:space="preserve">Database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rPr>
          <w:tblHeader/>
        </w:trPr>
        <w:tc>
          <w:tcPr>
            <w:tcW w:type="dxa" w:w="3000"/>
            <w:shd w:fill="1B2A4A" w:val="clear"/>
            <w:tcMar>
              <w:top w:type="dxa" w:w="100"/>
              <w:left w:type="dxa" w:w="120"/>
              <w:bottom w:type="dxa" w:w="100"/>
              <w:right w:type="dxa" w:w="120"/>
            </w:tcMar>
            <w:vAlign w:val="center"/>
          </w:tcPr>
          <w:p>
            <w:r>
              <w:rPr>
                <w:rFonts w:ascii="Calibri" w:cs="Calibri" w:eastAsia="Calibri" w:hAnsi="Calibri"/>
                <w:b/>
                <w:bCs/>
                <w:color w:val="FFFFFF"/>
                <w:sz w:val="22"/>
                <w:szCs w:val="22"/>
              </w:rPr>
              <w:t xml:space="preserve">Technology</w:t>
            </w:r>
          </w:p>
        </w:tc>
        <w:tc>
          <w:tcPr>
            <w:tcW w:type="dxa" w:w="6800"/>
            <w:shd w:fill="1B2A4A" w:val="clear"/>
            <w:tcMar>
              <w:top w:type="dxa" w:w="100"/>
              <w:left w:type="dxa" w:w="120"/>
              <w:bottom w:type="dxa" w:w="100"/>
              <w:right w:type="dxa" w:w="120"/>
            </w:tcMar>
            <w:vAlign w:val="center"/>
          </w:tcPr>
          <w:p>
            <w:r>
              <w:rPr>
                <w:rFonts w:ascii="Calibri" w:cs="Calibri" w:eastAsia="Calibri" w:hAnsi="Calibri"/>
                <w:b/>
                <w:bCs/>
                <w:color w:val="FFFFFF"/>
                <w:sz w:val="22"/>
                <w:szCs w:val="22"/>
              </w:rPr>
              <w:t xml:space="preserve">Purpose</w:t>
            </w:r>
          </w:p>
        </w:tc>
      </w:tr>
      <w:tr>
        <w:tc>
          <w:tcPr>
            <w:tcW w:type="dxa" w:w="30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MySQL</w:t>
            </w:r>
          </w:p>
        </w:tc>
        <w:tc>
          <w:tcPr>
            <w:tcW w:type="dxa" w:w="68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Relational database for storing user data and scheme records</w:t>
            </w:r>
          </w:p>
        </w:tc>
      </w:tr>
    </w:tbl>
    <w:p>
      <w:pPr>
        <w:pStyle w:val="Heading2"/>
        <w:spacing w:after="120" w:before="260"/>
      </w:pPr>
      <w:r>
        <w:rPr>
          <w:rFonts w:ascii="Calibri" w:cs="Calibri" w:eastAsia="Calibri" w:hAnsi="Calibri"/>
          <w:b/>
          <w:bCs/>
          <w:color w:val="1E6B3C"/>
          <w:sz w:val="24"/>
          <w:szCs w:val="24"/>
        </w:rPr>
        <w:t xml:space="preserve">Artificial Intelligence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rPr>
          <w:tblHeader/>
        </w:trPr>
        <w:tc>
          <w:tcPr>
            <w:tcW w:type="dxa" w:w="3000"/>
            <w:shd w:fill="1B2A4A" w:val="clear"/>
            <w:tcMar>
              <w:top w:type="dxa" w:w="100"/>
              <w:left w:type="dxa" w:w="120"/>
              <w:bottom w:type="dxa" w:w="100"/>
              <w:right w:type="dxa" w:w="120"/>
            </w:tcMar>
            <w:vAlign w:val="center"/>
          </w:tcPr>
          <w:p>
            <w:r>
              <w:rPr>
                <w:rFonts w:ascii="Calibri" w:cs="Calibri" w:eastAsia="Calibri" w:hAnsi="Calibri"/>
                <w:b/>
                <w:bCs/>
                <w:color w:val="FFFFFF"/>
                <w:sz w:val="22"/>
                <w:szCs w:val="22"/>
              </w:rPr>
              <w:t xml:space="preserve">Technology</w:t>
            </w:r>
          </w:p>
        </w:tc>
        <w:tc>
          <w:tcPr>
            <w:tcW w:type="dxa" w:w="6800"/>
            <w:shd w:fill="1B2A4A" w:val="clear"/>
            <w:tcMar>
              <w:top w:type="dxa" w:w="100"/>
              <w:left w:type="dxa" w:w="120"/>
              <w:bottom w:type="dxa" w:w="100"/>
              <w:right w:type="dxa" w:w="120"/>
            </w:tcMar>
            <w:vAlign w:val="center"/>
          </w:tcPr>
          <w:p>
            <w:r>
              <w:rPr>
                <w:rFonts w:ascii="Calibri" w:cs="Calibri" w:eastAsia="Calibri" w:hAnsi="Calibri"/>
                <w:b/>
                <w:bCs/>
                <w:color w:val="FFFFFF"/>
                <w:sz w:val="22"/>
                <w:szCs w:val="22"/>
              </w:rPr>
              <w:t xml:space="preserve">Purpose</w:t>
            </w:r>
          </w:p>
        </w:tc>
      </w:tr>
      <w:tr>
        <w:tc>
          <w:tcPr>
            <w:tcW w:type="dxa" w:w="30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OpenAI API / Gemini API</w:t>
            </w:r>
          </w:p>
        </w:tc>
        <w:tc>
          <w:tcPr>
            <w:tcW w:type="dxa" w:w="68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Natural language understanding and response generation</w:t>
            </w:r>
          </w:p>
        </w:tc>
      </w:tr>
      <w:tr>
        <w:tc>
          <w:tcPr>
            <w:tcW w:type="dxa" w:w="3000"/>
            <w:shd w:fill="F2F2F2"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Natural Language Processing</w:t>
            </w:r>
          </w:p>
        </w:tc>
        <w:tc>
          <w:tcPr>
            <w:tcW w:type="dxa" w:w="6800"/>
            <w:shd w:fill="F2F2F2"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Extracting structured user attributes from free-text input</w:t>
            </w:r>
          </w:p>
        </w:tc>
      </w:tr>
      <w:tr>
        <w:tc>
          <w:tcPr>
            <w:tcW w:type="dxa" w:w="30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Prompt Engineering</w:t>
            </w:r>
          </w:p>
        </w:tc>
        <w:tc>
          <w:tcPr>
            <w:tcW w:type="dxa" w:w="68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Designing prompts for accurate, scheme-specific AI responses</w:t>
            </w:r>
          </w:p>
        </w:tc>
      </w:tr>
    </w:tbl>
    <w:p>
      <w:pPr>
        <w:pStyle w:val="Heading2"/>
        <w:spacing w:after="120" w:before="260"/>
      </w:pPr>
      <w:r>
        <w:rPr>
          <w:rFonts w:ascii="Calibri" w:cs="Calibri" w:eastAsia="Calibri" w:hAnsi="Calibri"/>
          <w:b/>
          <w:bCs/>
          <w:color w:val="1E6B3C"/>
          <w:sz w:val="24"/>
          <w:szCs w:val="24"/>
        </w:rPr>
        <w:t xml:space="preserve">Government Data Sources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rPr>
          <w:tblHeader/>
        </w:trPr>
        <w:tc>
          <w:tcPr>
            <w:tcW w:type="dxa" w:w="3000"/>
            <w:shd w:fill="1B2A4A" w:val="clear"/>
            <w:tcMar>
              <w:top w:type="dxa" w:w="100"/>
              <w:left w:type="dxa" w:w="120"/>
              <w:bottom w:type="dxa" w:w="100"/>
              <w:right w:type="dxa" w:w="120"/>
            </w:tcMar>
            <w:vAlign w:val="center"/>
          </w:tcPr>
          <w:p>
            <w:r>
              <w:rPr>
                <w:rFonts w:ascii="Calibri" w:cs="Calibri" w:eastAsia="Calibri" w:hAnsi="Calibri"/>
                <w:b/>
                <w:bCs/>
                <w:color w:val="FFFFFF"/>
                <w:sz w:val="22"/>
                <w:szCs w:val="22"/>
              </w:rPr>
              <w:t xml:space="preserve">Source</w:t>
            </w:r>
          </w:p>
        </w:tc>
        <w:tc>
          <w:tcPr>
            <w:tcW w:type="dxa" w:w="6800"/>
            <w:shd w:fill="1B2A4A" w:val="clear"/>
            <w:tcMar>
              <w:top w:type="dxa" w:w="100"/>
              <w:left w:type="dxa" w:w="120"/>
              <w:bottom w:type="dxa" w:w="100"/>
              <w:right w:type="dxa" w:w="120"/>
            </w:tcMar>
            <w:vAlign w:val="center"/>
          </w:tcPr>
          <w:p>
            <w:r>
              <w:rPr>
                <w:rFonts w:ascii="Calibri" w:cs="Calibri" w:eastAsia="Calibri" w:hAnsi="Calibri"/>
                <w:b/>
                <w:bCs/>
                <w:color w:val="FFFFFF"/>
                <w:sz w:val="22"/>
                <w:szCs w:val="22"/>
              </w:rPr>
              <w:t xml:space="preserve">Purpose</w:t>
            </w:r>
          </w:p>
        </w:tc>
      </w:tr>
      <w:tr>
        <w:tc>
          <w:tcPr>
            <w:tcW w:type="dxa" w:w="30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Government Open APIs</w:t>
            </w:r>
          </w:p>
        </w:tc>
        <w:tc>
          <w:tcPr>
            <w:tcW w:type="dxa" w:w="68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Fetching live, authoritative scheme data</w:t>
            </w:r>
          </w:p>
        </w:tc>
      </w:tr>
      <w:tr>
        <w:tc>
          <w:tcPr>
            <w:tcW w:type="dxa" w:w="3000"/>
            <w:shd w:fill="F2F2F2"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Open Government Data Platform</w:t>
            </w:r>
          </w:p>
        </w:tc>
        <w:tc>
          <w:tcPr>
            <w:tcW w:type="dxa" w:w="6800"/>
            <w:shd w:fill="F2F2F2"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Central repository of scheme and eligibility datasets</w:t>
            </w:r>
          </w:p>
        </w:tc>
      </w:tr>
      <w:tr>
        <w:tc>
          <w:tcPr>
            <w:tcW w:type="dxa" w:w="30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State Government Portals</w:t>
            </w:r>
          </w:p>
        </w:tc>
        <w:tc>
          <w:tcPr>
            <w:tcW w:type="dxa" w:w="68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State-specific scheme details and application links</w:t>
            </w:r>
          </w:p>
        </w:tc>
      </w:tr>
    </w:tbl>
    <w:p>
      <w:pPr>
        <w:pStyle w:val="Heading2"/>
        <w:spacing w:after="120" w:before="260"/>
      </w:pPr>
      <w:r>
        <w:rPr>
          <w:rFonts w:ascii="Calibri" w:cs="Calibri" w:eastAsia="Calibri" w:hAnsi="Calibri"/>
          <w:b/>
          <w:bCs/>
          <w:color w:val="1E6B3C"/>
          <w:sz w:val="24"/>
          <w:szCs w:val="24"/>
        </w:rPr>
        <w:t xml:space="preserve">Development Tools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rPr>
          <w:tblHeader/>
        </w:trPr>
        <w:tc>
          <w:tcPr>
            <w:tcW w:type="dxa" w:w="3000"/>
            <w:shd w:fill="1B2A4A" w:val="clear"/>
            <w:tcMar>
              <w:top w:type="dxa" w:w="100"/>
              <w:left w:type="dxa" w:w="120"/>
              <w:bottom w:type="dxa" w:w="100"/>
              <w:right w:type="dxa" w:w="120"/>
            </w:tcMar>
            <w:vAlign w:val="center"/>
          </w:tcPr>
          <w:p>
            <w:r>
              <w:rPr>
                <w:rFonts w:ascii="Calibri" w:cs="Calibri" w:eastAsia="Calibri" w:hAnsi="Calibri"/>
                <w:b/>
                <w:bCs/>
                <w:color w:val="FFFFFF"/>
                <w:sz w:val="22"/>
                <w:szCs w:val="22"/>
              </w:rPr>
              <w:t xml:space="preserve">Tool</w:t>
            </w:r>
          </w:p>
        </w:tc>
        <w:tc>
          <w:tcPr>
            <w:tcW w:type="dxa" w:w="6800"/>
            <w:shd w:fill="1B2A4A" w:val="clear"/>
            <w:tcMar>
              <w:top w:type="dxa" w:w="100"/>
              <w:left w:type="dxa" w:w="120"/>
              <w:bottom w:type="dxa" w:w="100"/>
              <w:right w:type="dxa" w:w="120"/>
            </w:tcMar>
            <w:vAlign w:val="center"/>
          </w:tcPr>
          <w:p>
            <w:r>
              <w:rPr>
                <w:rFonts w:ascii="Calibri" w:cs="Calibri" w:eastAsia="Calibri" w:hAnsi="Calibri"/>
                <w:b/>
                <w:bCs/>
                <w:color w:val="FFFFFF"/>
                <w:sz w:val="22"/>
                <w:szCs w:val="22"/>
              </w:rPr>
              <w:t xml:space="preserve">Purpose</w:t>
            </w:r>
          </w:p>
        </w:tc>
      </w:tr>
      <w:tr>
        <w:tc>
          <w:tcPr>
            <w:tcW w:type="dxa" w:w="30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Eclipse IDE</w:t>
            </w:r>
          </w:p>
        </w:tc>
        <w:tc>
          <w:tcPr>
            <w:tcW w:type="dxa" w:w="68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Java development environment</w:t>
            </w:r>
          </w:p>
        </w:tc>
      </w:tr>
      <w:tr>
        <w:tc>
          <w:tcPr>
            <w:tcW w:type="dxa" w:w="3000"/>
            <w:shd w:fill="F2F2F2"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Apache Tomcat Server</w:t>
            </w:r>
          </w:p>
        </w:tc>
        <w:tc>
          <w:tcPr>
            <w:tcW w:type="dxa" w:w="6800"/>
            <w:shd w:fill="F2F2F2"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Servlet container / application deployment</w:t>
            </w:r>
          </w:p>
        </w:tc>
      </w:tr>
      <w:tr>
        <w:tc>
          <w:tcPr>
            <w:tcW w:type="dxa" w:w="30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MySQL Workbench</w:t>
            </w:r>
          </w:p>
        </w:tc>
        <w:tc>
          <w:tcPr>
            <w:tcW w:type="dxa" w:w="68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Database design and management</w:t>
            </w:r>
          </w:p>
        </w:tc>
      </w:tr>
      <w:tr>
        <w:tc>
          <w:tcPr>
            <w:tcW w:type="dxa" w:w="3000"/>
            <w:shd w:fill="F2F2F2"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Git</w:t>
            </w:r>
          </w:p>
        </w:tc>
        <w:tc>
          <w:tcPr>
            <w:tcW w:type="dxa" w:w="6800"/>
            <w:shd w:fill="F2F2F2"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Version control</w:t>
            </w:r>
          </w:p>
        </w:tc>
      </w:tr>
      <w:tr>
        <w:tc>
          <w:tcPr>
            <w:tcW w:type="dxa" w:w="30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GitHub</w:t>
            </w:r>
          </w:p>
        </w:tc>
        <w:tc>
          <w:tcPr>
            <w:tcW w:type="dxa" w:w="68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Source code hosting and collaboration</w:t>
            </w:r>
          </w:p>
        </w:tc>
      </w:tr>
      <w:tr>
        <w:tc>
          <w:tcPr>
            <w:tcW w:type="dxa" w:w="3000"/>
            <w:shd w:fill="F2F2F2"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Postman</w:t>
            </w:r>
          </w:p>
        </w:tc>
        <w:tc>
          <w:tcPr>
            <w:tcW w:type="dxa" w:w="6800"/>
            <w:shd w:fill="F2F2F2"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API testing and debugging</w:t>
            </w:r>
          </w:p>
        </w:tc>
      </w:tr>
    </w:tbl>
    <w:p>
      <w:pPr>
        <w:pStyle w:val="Heading1"/>
        <w:pBdr>
          <w:bottom w:val="single" w:color="C25E00" w:sz="6" w:space="6"/>
        </w:pBdr>
        <w:spacing w:after="200" w:before="400"/>
      </w:pPr>
      <w:r>
        <w:rPr>
          <w:rFonts w:ascii="Calibri" w:cs="Calibri" w:eastAsia="Calibri" w:hAnsi="Calibri"/>
          <w:b/>
          <w:bCs/>
          <w:color w:val="C25E00"/>
          <w:sz w:val="30"/>
          <w:szCs w:val="30"/>
        </w:rPr>
        <w:t xml:space="preserve">5.  </w:t>
      </w:r>
      <w:r>
        <w:rPr>
          <w:rFonts w:ascii="Calibri" w:cs="Calibri" w:eastAsia="Calibri" w:hAnsi="Calibri"/>
          <w:b/>
          <w:bCs/>
          <w:color w:val="1B2A4A"/>
          <w:sz w:val="30"/>
          <w:szCs w:val="30"/>
        </w:rPr>
        <w:t xml:space="preserve">Modules</w:t>
      </w:r>
    </w:p>
    <w:p>
      <w:pPr>
        <w:spacing w:after="160" w:line="300"/>
        <w:jc w:val="both"/>
      </w:pPr>
      <w:r>
        <w:rPr>
          <w:rFonts w:ascii="Calibri" w:cs="Calibri" w:eastAsia="Calibri" w:hAnsi="Calibri"/>
          <w:color w:val="222222"/>
          <w:sz w:val="22"/>
          <w:szCs w:val="22"/>
        </w:rPr>
        <w:t xml:space="preserve">The system is organised into the following core modules, each responsible for a distinct part of the user journey:</w:t>
      </w:r>
    </w:p>
    <w:p>
      <w:pPr>
        <w:pStyle w:val="Heading2"/>
        <w:spacing w:after="120" w:before="260"/>
      </w:pPr>
      <w:r>
        <w:rPr>
          <w:rFonts w:ascii="Calibri" w:cs="Calibri" w:eastAsia="Calibri" w:hAnsi="Calibri"/>
          <w:b/>
          <w:bCs/>
          <w:color w:val="1E6B3C"/>
          <w:sz w:val="24"/>
          <w:szCs w:val="24"/>
        </w:rPr>
        <w:t xml:space="preserve">1. User Interaction Module</w:t>
      </w:r>
    </w:p>
    <w:p>
      <w:pPr>
        <w:spacing w:after="160" w:line="300"/>
        <w:jc w:val="both"/>
      </w:pPr>
      <w:r>
        <w:rPr>
          <w:rFonts w:ascii="Calibri" w:cs="Calibri" w:eastAsia="Calibri" w:hAnsi="Calibri"/>
          <w:color w:val="222222"/>
          <w:sz w:val="22"/>
          <w:szCs w:val="22"/>
        </w:rPr>
        <w:t xml:space="preserve">Provides a conversational chat-style interface built in React.js where users describe themselves in natural language, similar to chatting with an assistant.</w:t>
      </w:r>
    </w:p>
    <w:p>
      <w:pPr>
        <w:pStyle w:val="Heading2"/>
        <w:spacing w:after="120" w:before="260"/>
      </w:pPr>
      <w:r>
        <w:rPr>
          <w:rFonts w:ascii="Calibri" w:cs="Calibri" w:eastAsia="Calibri" w:hAnsi="Calibri"/>
          <w:b/>
          <w:bCs/>
          <w:color w:val="1E6B3C"/>
          <w:sz w:val="24"/>
          <w:szCs w:val="24"/>
        </w:rPr>
        <w:t xml:space="preserve">2. NLP &amp; Attribute Extraction Module</w:t>
      </w:r>
    </w:p>
    <w:p>
      <w:pPr>
        <w:spacing w:after="160" w:line="300"/>
        <w:jc w:val="both"/>
      </w:pPr>
      <w:r>
        <w:rPr>
          <w:rFonts w:ascii="Calibri" w:cs="Calibri" w:eastAsia="Calibri" w:hAnsi="Calibri"/>
          <w:color w:val="222222"/>
          <w:sz w:val="22"/>
          <w:szCs w:val="22"/>
        </w:rPr>
        <w:t xml:space="preserve">Uses the AI API (OpenAI / Gemini) with engineered prompts to parse free-text input and extract structured attributes such as age, state, income, occupation, category, and gender.</w:t>
      </w:r>
    </w:p>
    <w:p>
      <w:pPr>
        <w:pStyle w:val="Heading2"/>
        <w:spacing w:after="120" w:before="260"/>
      </w:pPr>
      <w:r>
        <w:rPr>
          <w:rFonts w:ascii="Calibri" w:cs="Calibri" w:eastAsia="Calibri" w:hAnsi="Calibri"/>
          <w:b/>
          <w:bCs/>
          <w:color w:val="1E6B3C"/>
          <w:sz w:val="24"/>
          <w:szCs w:val="24"/>
        </w:rPr>
        <w:t xml:space="preserve">3. Eligibility Matching Engine</w:t>
      </w:r>
    </w:p>
    <w:p>
      <w:pPr>
        <w:spacing w:after="160" w:line="300"/>
        <w:jc w:val="both"/>
      </w:pPr>
      <w:r>
        <w:rPr>
          <w:rFonts w:ascii="Calibri" w:cs="Calibri" w:eastAsia="Calibri" w:hAnsi="Calibri"/>
          <w:color w:val="222222"/>
          <w:sz w:val="22"/>
          <w:szCs w:val="22"/>
        </w:rPr>
        <w:t xml:space="preserve">Compares extracted user attributes against the scheme eligibility rules stored in the MySQL database via Hibernate/JDBC, and generates a ranked list of matching schemes.</w:t>
      </w:r>
    </w:p>
    <w:p>
      <w:pPr>
        <w:pStyle w:val="Heading2"/>
        <w:spacing w:after="120" w:before="260"/>
      </w:pPr>
      <w:r>
        <w:rPr>
          <w:rFonts w:ascii="Calibri" w:cs="Calibri" w:eastAsia="Calibri" w:hAnsi="Calibri"/>
          <w:b/>
          <w:bCs/>
          <w:color w:val="1E6B3C"/>
          <w:sz w:val="24"/>
          <w:szCs w:val="24"/>
        </w:rPr>
        <w:t xml:space="preserve">4. Scheme Information Module</w:t>
      </w:r>
    </w:p>
    <w:p>
      <w:pPr>
        <w:spacing w:after="160" w:line="300"/>
        <w:jc w:val="both"/>
      </w:pPr>
      <w:r>
        <w:rPr>
          <w:rFonts w:ascii="Calibri" w:cs="Calibri" w:eastAsia="Calibri" w:hAnsi="Calibri"/>
          <w:color w:val="222222"/>
          <w:sz w:val="22"/>
          <w:szCs w:val="22"/>
        </w:rPr>
        <w:t xml:space="preserve">Retrieves and displays detailed scheme information — benefits, eligibility explanation, required documents, and application procedure — sourced from Government Open APIs and Open Government Data Platform.</w:t>
      </w:r>
    </w:p>
    <w:p>
      <w:pPr>
        <w:pStyle w:val="Heading2"/>
        <w:spacing w:after="120" w:before="260"/>
      </w:pPr>
      <w:r>
        <w:rPr>
          <w:rFonts w:ascii="Calibri" w:cs="Calibri" w:eastAsia="Calibri" w:hAnsi="Calibri"/>
          <w:b/>
          <w:bCs/>
          <w:color w:val="1E6B3C"/>
          <w:sz w:val="24"/>
          <w:szCs w:val="24"/>
        </w:rPr>
        <w:t xml:space="preserve">5. Document Checklist Generator</w:t>
      </w:r>
    </w:p>
    <w:p>
      <w:pPr>
        <w:spacing w:after="160" w:line="300"/>
        <w:jc w:val="both"/>
      </w:pPr>
      <w:r>
        <w:rPr>
          <w:rFonts w:ascii="Calibri" w:cs="Calibri" w:eastAsia="Calibri" w:hAnsi="Calibri"/>
          <w:color w:val="222222"/>
          <w:sz w:val="22"/>
          <w:szCs w:val="22"/>
        </w:rPr>
        <w:t xml:space="preserve">Automatically compiles the documents required across all matched schemes into a single, de-duplicated, easy-to-follow checklist for the user.</w:t>
      </w:r>
    </w:p>
    <w:p>
      <w:pPr>
        <w:pStyle w:val="Heading2"/>
        <w:spacing w:after="120" w:before="260"/>
      </w:pPr>
      <w:r>
        <w:rPr>
          <w:rFonts w:ascii="Calibri" w:cs="Calibri" w:eastAsia="Calibri" w:hAnsi="Calibri"/>
          <w:b/>
          <w:bCs/>
          <w:color w:val="1E6B3C"/>
          <w:sz w:val="24"/>
          <w:szCs w:val="24"/>
        </w:rPr>
        <w:t xml:space="preserve">6. Application Redirection Module</w:t>
      </w:r>
    </w:p>
    <w:p>
      <w:pPr>
        <w:spacing w:after="160" w:line="300"/>
        <w:jc w:val="both"/>
      </w:pPr>
      <w:r>
        <w:rPr>
          <w:rFonts w:ascii="Calibri" w:cs="Calibri" w:eastAsia="Calibri" w:hAnsi="Calibri"/>
          <w:color w:val="222222"/>
          <w:sz w:val="22"/>
          <w:szCs w:val="22"/>
        </w:rPr>
        <w:t xml:space="preserve">Provides direct, verified links to the correct official Government application portal for each matched scheme.</w:t>
      </w:r>
    </w:p>
    <w:p>
      <w:pPr>
        <w:pStyle w:val="Heading2"/>
        <w:spacing w:after="120" w:before="260"/>
      </w:pPr>
      <w:r>
        <w:rPr>
          <w:rFonts w:ascii="Calibri" w:cs="Calibri" w:eastAsia="Calibri" w:hAnsi="Calibri"/>
          <w:b/>
          <w:bCs/>
          <w:color w:val="1E6B3C"/>
          <w:sz w:val="24"/>
          <w:szCs w:val="24"/>
        </w:rPr>
        <w:t xml:space="preserve">7. Admin / Data Management Module</w:t>
      </w:r>
    </w:p>
    <w:p>
      <w:pPr>
        <w:spacing w:after="160" w:line="300"/>
        <w:jc w:val="both"/>
      </w:pPr>
      <w:r>
        <w:rPr>
          <w:rFonts w:ascii="Calibri" w:cs="Calibri" w:eastAsia="Calibri" w:hAnsi="Calibri"/>
          <w:color w:val="222222"/>
          <w:sz w:val="22"/>
          <w:szCs w:val="22"/>
        </w:rPr>
        <w:t xml:space="preserve">Allows scheme data (eligibility rules, benefits, documents, links) to be added, updated, or deactivated as Government policies change, keeping the platform current.</w:t>
      </w:r>
    </w:p>
    <w:p>
      <w:pPr>
        <w:pStyle w:val="Heading2"/>
        <w:spacing w:after="120" w:before="260"/>
      </w:pPr>
      <w:r>
        <w:rPr>
          <w:rFonts w:ascii="Calibri" w:cs="Calibri" w:eastAsia="Calibri" w:hAnsi="Calibri"/>
          <w:b/>
          <w:bCs/>
          <w:color w:val="1E6B3C"/>
          <w:sz w:val="24"/>
          <w:szCs w:val="24"/>
        </w:rPr>
        <w:t xml:space="preserve">8. Authentication &amp; User Profile Module</w:t>
      </w:r>
    </w:p>
    <w:p>
      <w:pPr>
        <w:spacing w:after="160" w:line="300"/>
        <w:jc w:val="both"/>
      </w:pPr>
      <w:r>
        <w:rPr>
          <w:rFonts w:ascii="Calibri" w:cs="Calibri" w:eastAsia="Calibri" w:hAnsi="Calibri"/>
          <w:color w:val="222222"/>
          <w:sz w:val="22"/>
          <w:szCs w:val="22"/>
        </w:rPr>
        <w:t xml:space="preserve">Manages secure user login/signup and stores basic profile information so returning users can view their previous scheme matches.</w:t>
      </w:r>
    </w:p>
    <w:p>
      <w:pPr>
        <w:pStyle w:val="Heading1"/>
        <w:pBdr>
          <w:bottom w:val="single" w:color="C25E00" w:sz="6" w:space="6"/>
        </w:pBdr>
        <w:spacing w:after="200" w:before="400"/>
      </w:pPr>
      <w:r>
        <w:rPr>
          <w:rFonts w:ascii="Calibri" w:cs="Calibri" w:eastAsia="Calibri" w:hAnsi="Calibri"/>
          <w:b/>
          <w:bCs/>
          <w:color w:val="C25E00"/>
          <w:sz w:val="30"/>
          <w:szCs w:val="30"/>
        </w:rPr>
        <w:t xml:space="preserve">6.  </w:t>
      </w:r>
      <w:r>
        <w:rPr>
          <w:rFonts w:ascii="Calibri" w:cs="Calibri" w:eastAsia="Calibri" w:hAnsi="Calibri"/>
          <w:b/>
          <w:bCs/>
          <w:color w:val="1B2A4A"/>
          <w:sz w:val="30"/>
          <w:szCs w:val="30"/>
        </w:rPr>
        <w:t xml:space="preserve">Uniqueness</w:t>
      </w:r>
    </w:p>
    <w:p>
      <w:pPr>
        <w:pStyle w:val="ListParagraph"/>
        <w:numPr>
          <w:ilvl w:val="0"/>
          <w:numId w:val="2"/>
        </w:numPr>
        <w:spacing w:after="90" w:line="280"/>
      </w:pPr>
      <w:r>
        <w:rPr>
          <w:rFonts w:ascii="Calibri" w:cs="Calibri" w:eastAsia="Calibri" w:hAnsi="Calibri"/>
          <w:b/>
          <w:bCs/>
          <w:color w:val="1B2A4A"/>
          <w:sz w:val="22"/>
          <w:szCs w:val="22"/>
        </w:rPr>
        <w:t xml:space="preserve">Conversational, not form-based — </w:t>
      </w:r>
      <w:r>
        <w:rPr>
          <w:rFonts w:ascii="Calibri" w:cs="Calibri" w:eastAsia="Calibri" w:hAnsi="Calibri"/>
          <w:color w:val="222222"/>
          <w:sz w:val="22"/>
          <w:szCs w:val="22"/>
        </w:rPr>
        <w:t xml:space="preserve">unlike existing scheme portals that rely on rigid, multi-step forms, users simply describe themselves in plain language, exactly as they would explain it to another person.</w:t>
      </w:r>
    </w:p>
    <w:p>
      <w:pPr>
        <w:pStyle w:val="ListParagraph"/>
        <w:numPr>
          <w:ilvl w:val="0"/>
          <w:numId w:val="2"/>
        </w:numPr>
        <w:spacing w:after="90" w:line="280"/>
      </w:pPr>
      <w:r>
        <w:rPr>
          <w:rFonts w:ascii="Calibri" w:cs="Calibri" w:eastAsia="Calibri" w:hAnsi="Calibri"/>
          <w:b/>
          <w:bCs/>
          <w:color w:val="1B2A4A"/>
          <w:sz w:val="22"/>
          <w:szCs w:val="22"/>
        </w:rPr>
        <w:t xml:space="preserve">Specialised AI, not generic chat — </w:t>
      </w:r>
      <w:r>
        <w:rPr>
          <w:rFonts w:ascii="Calibri" w:cs="Calibri" w:eastAsia="Calibri" w:hAnsi="Calibri"/>
          <w:color w:val="222222"/>
          <w:sz w:val="22"/>
          <w:szCs w:val="22"/>
        </w:rPr>
        <w:t xml:space="preserve">unlike general-purpose assistants, the AI here is purpose-built and prompt-engineered specifically for Government scheme eligibility logic, making its answers accurate and actionable rather than generic.</w:t>
      </w:r>
    </w:p>
    <w:p>
      <w:pPr>
        <w:pStyle w:val="ListParagraph"/>
        <w:numPr>
          <w:ilvl w:val="0"/>
          <w:numId w:val="2"/>
        </w:numPr>
        <w:spacing w:after="90" w:line="280"/>
      </w:pPr>
      <w:r>
        <w:rPr>
          <w:rFonts w:ascii="Calibri" w:cs="Calibri" w:eastAsia="Calibri" w:hAnsi="Calibri"/>
          <w:b/>
          <w:bCs/>
          <w:color w:val="1B2A4A"/>
          <w:sz w:val="22"/>
          <w:szCs w:val="22"/>
        </w:rPr>
        <w:t xml:space="preserve">Explains eligibility in plain language — </w:t>
      </w:r>
      <w:r>
        <w:rPr>
          <w:rFonts w:ascii="Calibri" w:cs="Calibri" w:eastAsia="Calibri" w:hAnsi="Calibri"/>
          <w:color w:val="222222"/>
          <w:sz w:val="22"/>
          <w:szCs w:val="22"/>
        </w:rPr>
        <w:t xml:space="preserve">the platform doesn't just list schemes; it tells the user exactly why they qualify, building trust and clarity.</w:t>
      </w:r>
    </w:p>
    <w:p>
      <w:pPr>
        <w:pStyle w:val="ListParagraph"/>
        <w:numPr>
          <w:ilvl w:val="0"/>
          <w:numId w:val="2"/>
        </w:numPr>
        <w:spacing w:after="90" w:line="280"/>
      </w:pPr>
      <w:r>
        <w:rPr>
          <w:rFonts w:ascii="Calibri" w:cs="Calibri" w:eastAsia="Calibri" w:hAnsi="Calibri"/>
          <w:b/>
          <w:bCs/>
          <w:color w:val="1B2A4A"/>
          <w:sz w:val="22"/>
          <w:szCs w:val="22"/>
        </w:rPr>
        <w:t xml:space="preserve">End-to-end guidance — </w:t>
      </w:r>
      <w:r>
        <w:rPr>
          <w:rFonts w:ascii="Calibri" w:cs="Calibri" w:eastAsia="Calibri" w:hAnsi="Calibri"/>
          <w:color w:val="222222"/>
          <w:sz w:val="22"/>
          <w:szCs w:val="22"/>
        </w:rPr>
        <w:t xml:space="preserve">from eligibility to documents to the final application link, the user is guided through the entire journey in one place instead of being left to research further.</w:t>
      </w:r>
    </w:p>
    <w:p>
      <w:pPr>
        <w:pStyle w:val="ListParagraph"/>
        <w:numPr>
          <w:ilvl w:val="0"/>
          <w:numId w:val="2"/>
        </w:numPr>
        <w:spacing w:after="90" w:line="280"/>
      </w:pPr>
      <w:r>
        <w:rPr>
          <w:rFonts w:ascii="Calibri" w:cs="Calibri" w:eastAsia="Calibri" w:hAnsi="Calibri"/>
          <w:b/>
          <w:bCs/>
          <w:color w:val="1B2A4A"/>
          <w:sz w:val="22"/>
          <w:szCs w:val="22"/>
        </w:rPr>
        <w:t xml:space="preserve">Consolidated document checklist — </w:t>
      </w:r>
      <w:r>
        <w:rPr>
          <w:rFonts w:ascii="Calibri" w:cs="Calibri" w:eastAsia="Calibri" w:hAnsi="Calibri"/>
          <w:color w:val="222222"/>
          <w:sz w:val="22"/>
          <w:szCs w:val="22"/>
        </w:rPr>
        <w:t xml:space="preserve">the system intelligently merges document requirements across multiple matched schemes to avoid repetitive, overlapping asks.</w:t>
      </w:r>
    </w:p>
    <w:p>
      <w:pPr>
        <w:pStyle w:val="ListParagraph"/>
        <w:numPr>
          <w:ilvl w:val="0"/>
          <w:numId w:val="2"/>
        </w:numPr>
        <w:spacing w:after="90" w:line="280"/>
      </w:pPr>
      <w:r>
        <w:rPr>
          <w:rFonts w:ascii="Calibri" w:cs="Calibri" w:eastAsia="Calibri" w:hAnsi="Calibri"/>
          <w:b/>
          <w:bCs/>
          <w:color w:val="1B2A4A"/>
          <w:sz w:val="22"/>
          <w:szCs w:val="22"/>
        </w:rPr>
        <w:t xml:space="preserve">Built on authoritative data — </w:t>
      </w:r>
      <w:r>
        <w:rPr>
          <w:rFonts w:ascii="Calibri" w:cs="Calibri" w:eastAsia="Calibri" w:hAnsi="Calibri"/>
          <w:color w:val="222222"/>
          <w:sz w:val="22"/>
          <w:szCs w:val="22"/>
        </w:rPr>
        <w:t xml:space="preserve">all scheme information is sourced from Government Open APIs and the Open Government Data Platform, ensuring accuracy and credibility.</w:t>
      </w:r>
    </w:p>
    <w:p>
      <w:pPr>
        <w:pStyle w:val="ListParagraph"/>
        <w:numPr>
          <w:ilvl w:val="0"/>
          <w:numId w:val="2"/>
        </w:numPr>
        <w:spacing w:after="90" w:line="280"/>
      </w:pPr>
      <w:r>
        <w:rPr>
          <w:rFonts w:ascii="Calibri" w:cs="Calibri" w:eastAsia="Calibri" w:hAnsi="Calibri"/>
          <w:b/>
          <w:bCs/>
          <w:color w:val="1B2A4A"/>
          <w:sz w:val="22"/>
          <w:szCs w:val="22"/>
        </w:rPr>
        <w:t xml:space="preserve">Inclusive by design — </w:t>
      </w:r>
      <w:r>
        <w:rPr>
          <w:rFonts w:ascii="Calibri" w:cs="Calibri" w:eastAsia="Calibri" w:hAnsi="Calibri"/>
          <w:color w:val="222222"/>
          <w:sz w:val="22"/>
          <w:szCs w:val="22"/>
        </w:rPr>
        <w:t xml:space="preserve">the natural-language interface makes the platform usable even by citizens with limited digital literacy or unfamiliarity with government terminology.</w:t>
      </w:r>
    </w:p>
    <w:p>
      <w:pPr>
        <w:pStyle w:val="ListParagraph"/>
        <w:numPr>
          <w:ilvl w:val="0"/>
          <w:numId w:val="2"/>
        </w:numPr>
        <w:spacing w:after="90" w:line="280"/>
      </w:pPr>
      <w:r>
        <w:rPr>
          <w:rFonts w:ascii="Calibri" w:cs="Calibri" w:eastAsia="Calibri" w:hAnsi="Calibri"/>
          <w:b/>
          <w:bCs/>
          <w:color w:val="1B2A4A"/>
          <w:sz w:val="22"/>
          <w:szCs w:val="22"/>
        </w:rPr>
        <w:t xml:space="preserve">Scalable architecture — </w:t>
      </w:r>
      <w:r>
        <w:rPr>
          <w:rFonts w:ascii="Calibri" w:cs="Calibri" w:eastAsia="Calibri" w:hAnsi="Calibri"/>
          <w:color w:val="222222"/>
          <w:sz w:val="22"/>
          <w:szCs w:val="22"/>
        </w:rPr>
        <w:t xml:space="preserve">the modular Java EE and MySQL backend allows new schemes and states to be onboarded continuously without redesigning the system.</w:t>
      </w:r>
    </w:p>
    <w:p>
      <w:pPr>
        <w:spacing w:after="160" w:line="300"/>
        <w:jc w:val="both"/>
      </w:pPr>
      <w:r>
        <w:rPr>
          <w:rFonts w:ascii="Calibri" w:cs="Calibri" w:eastAsia="Calibri" w:hAnsi="Calibri"/>
          <w:b/>
          <w:bCs/>
          <w:color w:val="1B2A4A"/>
          <w:sz w:val="22"/>
          <w:szCs w:val="22"/>
        </w:rPr>
        <w:t xml:space="preserve">Together, these factors position AI Sarkari Saathi not merely as a scheme directory, but as an intelligent, citizen-first bridge between the Government and the people it aims to serve.</w:t>
      </w:r>
    </w:p>
    <w:sectPr>
      <w:headerReference w:type="default" r:id="rId9"/>
      <w:footerReference w:type="default" r:id="rId10"/>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5B5B"/>
        <w:sz w:val="18"/>
        <w:szCs w:val="18"/>
      </w:rPr>
      <w:t xml:space="preserve">AI Sarkari Saathi  |  Project Synopsis  |  Page </w:t>
    </w:r>
    <w:r>
      <w:rPr>
        <w:rFonts w:ascii="Calibri" w:cs="Calibri" w:eastAsia="Calibri" w:hAnsi="Calibri"/>
        <w:color w:val="5B5B5B"/>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5B5B"/>
        <w:sz w:val="18"/>
        <w:szCs w:val="18"/>
      </w:rPr>
      <w:t xml:space="preserve">AI Sarkari Saathi  |  Project Synopsis  |  Page </w:t>
    </w:r>
    <w:r>
      <w:rPr>
        <w:rFonts w:ascii="Calibri" w:cs="Calibri" w:eastAsia="Calibri" w:hAnsi="Calibri"/>
        <w:color w:val="5B5B5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bCs/>
        <w:color w:val="5B5B5B"/>
        <w:sz w:val="16"/>
        <w:szCs w:val="16"/>
      </w:rPr>
      <w:t xml:space="preserve">AI SARKARI SAATHI — PROJECT SYNOPSIS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2026-07-21T05:05:29.894Z</dcterms:created>
  <dcterms:modified xsi:type="dcterms:W3CDTF">2026-07-21T05:05:29.906Z</dcterms:modified>
</cp:coreProperties>
</file>

<file path=docProps/custom.xml><?xml version="1.0" encoding="utf-8"?>
<Properties xmlns="http://schemas.openxmlformats.org/officeDocument/2006/custom-properties" xmlns:vt="http://schemas.openxmlformats.org/officeDocument/2006/docPropsVTypes"/>
</file>