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UNISKILL</w:t>
      </w:r>
    </w:p>
    <w:p>
      <w:pPr>
        <w:jc w:val="center"/>
      </w:pPr>
      <w:r>
        <w:t>Project Synopsis</w:t>
      </w:r>
    </w:p>
    <w:p>
      <w:pPr>
        <w:jc w:val="center"/>
      </w:pPr>
      <w:r>
        <w:t>A concise academic synopsis for the UniSkill student skill-exchange platform</w:t>
      </w:r>
    </w:p>
    <w:p>
      <w:pPr>
        <w:jc w:val="center"/>
      </w:pPr>
      <w:r/>
    </w:p>
    <w:p>
      <w:pPr>
        <w:jc w:val="center"/>
      </w:pPr>
      <w:r>
        <w:t>Document Type: Synopsis Report</w:t>
      </w:r>
    </w:p>
    <w:p>
      <w:pPr>
        <w:jc w:val="center"/>
      </w:pPr>
      <w:r>
        <w:t>Prepared for final year project submission</w:t>
      </w:r>
    </w:p>
    <w:p>
      <w:pPr>
        <w:jc w:val="center"/>
      </w:pPr>
      <w:r>
        <w:t>Source baseline: UniSkill repository, product flows, and project design documents</w:t>
      </w:r>
    </w:p>
    <w:p>
      <w:pPr>
        <w:jc w:val="center"/>
      </w:pPr>
      <w:r>
        <w:t>This edition removes unrelated project content and presents the UniSkill synopsis in a systematic form</w:t>
      </w:r>
    </w:p>
    <w:p>
      <w:r>
        <w:br w:type="page"/>
      </w:r>
    </w:p>
    <w:p>
      <w:pPr>
        <w:pStyle w:val="Heading1"/>
      </w:pPr>
      <w:r>
        <w:t>Table of Contents</w:t>
      </w:r>
    </w:p>
    <w:p>
      <w:r>
        <w:rPr>
          <w:rFonts w:ascii="Calibri" w:hAnsi="Calibri"/>
          <w:b w:val="0"/>
          <w:i w:val="0"/>
          <w:sz w:val="20"/>
        </w:rPr>
        <w:t>1. Introduction</w:t>
      </w:r>
    </w:p>
    <w:p>
      <w:r>
        <w:rPr>
          <w:rFonts w:ascii="Calibri" w:hAnsi="Calibri"/>
          <w:b w:val="0"/>
          <w:i w:val="0"/>
          <w:sz w:val="20"/>
        </w:rPr>
        <w:t>2. Literature Review</w:t>
      </w:r>
    </w:p>
    <w:p>
      <w:r>
        <w:rPr>
          <w:rFonts w:ascii="Calibri" w:hAnsi="Calibri"/>
          <w:b w:val="0"/>
          <w:i w:val="0"/>
          <w:sz w:val="20"/>
        </w:rPr>
        <w:t>3. Problem Definition</w:t>
      </w:r>
    </w:p>
    <w:p>
      <w:r>
        <w:rPr>
          <w:rFonts w:ascii="Calibri" w:hAnsi="Calibri"/>
          <w:b w:val="0"/>
          <w:i w:val="0"/>
          <w:sz w:val="20"/>
        </w:rPr>
        <w:t>4. Objectives</w:t>
      </w:r>
    </w:p>
    <w:p>
      <w:r>
        <w:rPr>
          <w:rFonts w:ascii="Calibri" w:hAnsi="Calibri"/>
          <w:b w:val="0"/>
          <w:i w:val="0"/>
          <w:sz w:val="20"/>
        </w:rPr>
        <w:t>5. Scope and Feasibility</w:t>
      </w:r>
    </w:p>
    <w:p>
      <w:r>
        <w:rPr>
          <w:rFonts w:ascii="Calibri" w:hAnsi="Calibri"/>
          <w:b w:val="0"/>
          <w:i w:val="0"/>
          <w:sz w:val="20"/>
        </w:rPr>
        <w:t>6. Existing and Proposed System</w:t>
      </w:r>
    </w:p>
    <w:p>
      <w:r>
        <w:rPr>
          <w:rFonts w:ascii="Calibri" w:hAnsi="Calibri"/>
          <w:b w:val="0"/>
          <w:i w:val="0"/>
          <w:sz w:val="20"/>
        </w:rPr>
        <w:t>7. Methodology and Architecture</w:t>
      </w:r>
    </w:p>
    <w:p>
      <w:r>
        <w:rPr>
          <w:rFonts w:ascii="Calibri" w:hAnsi="Calibri"/>
          <w:b w:val="0"/>
          <w:i w:val="0"/>
          <w:sz w:val="20"/>
        </w:rPr>
        <w:t>8. Module Description</w:t>
      </w:r>
    </w:p>
    <w:p>
      <w:r>
        <w:rPr>
          <w:rFonts w:ascii="Calibri" w:hAnsi="Calibri"/>
          <w:b w:val="0"/>
          <w:i w:val="0"/>
          <w:sz w:val="20"/>
        </w:rPr>
        <w:t>9. Requirements and Tools</w:t>
      </w:r>
    </w:p>
    <w:p>
      <w:r>
        <w:rPr>
          <w:rFonts w:ascii="Calibri" w:hAnsi="Calibri"/>
          <w:b w:val="0"/>
          <w:i w:val="0"/>
          <w:sz w:val="20"/>
        </w:rPr>
        <w:t>10. Risks, Testing, and Deployment Strategy</w:t>
      </w:r>
    </w:p>
    <w:p>
      <w:r>
        <w:rPr>
          <w:rFonts w:ascii="Calibri" w:hAnsi="Calibri"/>
          <w:b w:val="0"/>
          <w:i w:val="0"/>
          <w:sz w:val="20"/>
        </w:rPr>
        <w:t>11. Expected Outcomes and Future Enhancement</w:t>
      </w:r>
    </w:p>
    <w:p>
      <w:r>
        <w:rPr>
          <w:rFonts w:ascii="Calibri" w:hAnsi="Calibri"/>
          <w:b w:val="0"/>
          <w:i w:val="0"/>
          <w:sz w:val="20"/>
        </w:rPr>
        <w:t>12. Conclusion and References</w:t>
      </w:r>
    </w:p>
    <w:p>
      <w:r>
        <w:br w:type="page"/>
      </w:r>
    </w:p>
    <w:p>
      <w:pPr>
        <w:pStyle w:val="Heading1"/>
      </w:pPr>
      <w:r>
        <w:t>1. Introduction</w:t>
      </w:r>
    </w:p>
    <w:p>
      <w:pPr>
        <w:spacing w:after="120" w:line="276" w:lineRule="auto"/>
        <w:ind w:firstLine="317"/>
      </w:pPr>
      <w:r>
        <w:rPr>
          <w:rFonts w:ascii="Calibri" w:hAnsi="Calibri"/>
          <w:b w:val="0"/>
          <w:i w:val="0"/>
          <w:sz w:val="22"/>
        </w:rPr>
        <w:t>UniSkill approaches student skill exchange through a campus-first design lens in which students can be both mentors and learners inside the same platform. The current repository shows that the platform blends responsive pages, Supabase-backed sessions, and credit-oriented service flows, allowing the system to support both immediate usability and disciplined back-end control. From a project documentation perspective, this matters because the system can be positioned as both a social learning product and an engineering artifact, which makes the design traceable from user need through schema, API behavior, and interface flow.</w:t>
      </w:r>
    </w:p>
    <w:p>
      <w:pPr>
        <w:pStyle w:val="ListBullet"/>
        <w:spacing w:after="80"/>
      </w:pPr>
      <w:r>
        <w:rPr>
          <w:rFonts w:ascii="Calibri" w:hAnsi="Calibri"/>
          <w:b w:val="0"/>
          <w:i w:val="0"/>
          <w:sz w:val="20"/>
        </w:rPr>
        <w:t>Core module: OTP-driven onboarding and university identity verification</w:t>
      </w:r>
    </w:p>
    <w:p>
      <w:pPr>
        <w:pStyle w:val="ListBullet"/>
        <w:spacing w:after="80"/>
      </w:pPr>
      <w:r>
        <w:rPr>
          <w:rFonts w:ascii="Calibri" w:hAnsi="Calibri"/>
          <w:b w:val="0"/>
          <w:i w:val="0"/>
          <w:sz w:val="20"/>
        </w:rPr>
        <w:t>Core module: Profile, learning goals, and teaching service management</w:t>
      </w:r>
    </w:p>
    <w:p>
      <w:pPr>
        <w:pStyle w:val="ListBullet"/>
        <w:spacing w:after="80"/>
      </w:pPr>
      <w:r>
        <w:rPr>
          <w:rFonts w:ascii="Calibri" w:hAnsi="Calibri"/>
          <w:b w:val="0"/>
          <w:i w:val="0"/>
          <w:sz w:val="20"/>
        </w:rPr>
        <w:t>Core module: Marketplace discovery for student mentors and campus peers</w:t>
      </w:r>
    </w:p>
    <w:p>
      <w:pPr>
        <w:pStyle w:val="ListBullet"/>
        <w:spacing w:after="80"/>
      </w:pPr>
      <w:r>
        <w:rPr>
          <w:rFonts w:ascii="Calibri" w:hAnsi="Calibri"/>
          <w:b w:val="0"/>
          <w:i w:val="0"/>
          <w:sz w:val="20"/>
        </w:rPr>
        <w:t>Core module: Session booking with room provisioning and lifecycle tracking</w:t>
      </w:r>
    </w:p>
    <w:p>
      <w:pPr>
        <w:pStyle w:val="ListBullet"/>
        <w:spacing w:after="80"/>
      </w:pPr>
      <w:r>
        <w:rPr>
          <w:rFonts w:ascii="Calibri" w:hAnsi="Calibri"/>
          <w:b w:val="0"/>
          <w:i w:val="0"/>
          <w:sz w:val="20"/>
        </w:rPr>
        <w:t>Core module: Credit wallet, transaction history, and peer transfers</w:t>
      </w:r>
    </w:p>
    <w:p>
      <w:pPr>
        <w:pStyle w:val="ListBullet"/>
        <w:spacing w:after="80"/>
      </w:pPr>
      <w:r>
        <w:rPr>
          <w:rFonts w:ascii="Calibri" w:hAnsi="Calibri"/>
          <w:b w:val="0"/>
          <w:i w:val="0"/>
          <w:sz w:val="20"/>
        </w:rPr>
        <w:t>Core module: Messaging, notifications, and WebRTC signaling</w:t>
      </w:r>
    </w:p>
    <w:p>
      <w:pPr>
        <w:pStyle w:val="ListBullet"/>
        <w:spacing w:after="80"/>
      </w:pPr>
      <w:r>
        <w:rPr>
          <w:rFonts w:ascii="Calibri" w:hAnsi="Calibri"/>
          <w:b w:val="0"/>
          <w:i w:val="0"/>
          <w:sz w:val="20"/>
        </w:rPr>
        <w:t>Core module: Supabase security hardening, audit logging, and verification vault design</w:t>
      </w:r>
    </w:p>
    <w:p>
      <w:pPr>
        <w:spacing w:after="120" w:line="276" w:lineRule="auto"/>
        <w:ind w:firstLine="317"/>
      </w:pPr>
      <w:r>
        <w:rPr>
          <w:rFonts w:ascii="Calibri" w:hAnsi="Calibri"/>
          <w:b w:val="0"/>
          <w:i w:val="0"/>
          <w:sz w:val="22"/>
        </w:rPr>
        <w:t>The educational context for UniSkill is shaped by uneven access to tutoring, fragmented peer networks, and the absence of an institutional mechanism that lets students transparently monetize or exchange expertise without leaving the campus context.</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852160" cy="3291840"/>
                    </a:xfrm>
                    <a:prstGeom prst="rect"/>
                  </pic:spPr>
                </pic:pic>
              </a:graphicData>
            </a:graphic>
          </wp:inline>
        </w:drawing>
      </w:r>
    </w:p>
    <w:p>
      <w:pPr>
        <w:pStyle w:val="Heading2"/>
      </w:pPr>
      <w:r>
        <w:t>1.1 Overview</w:t>
      </w:r>
    </w:p>
    <w:p>
      <w:pPr>
        <w:spacing w:after="120" w:line="276" w:lineRule="auto"/>
        <w:ind w:firstLine="317"/>
      </w:pPr>
      <w:r>
        <w:rPr>
          <w:rFonts w:ascii="Calibri" w:hAnsi="Calibri"/>
          <w:b w:val="0"/>
          <w:i w:val="0"/>
          <w:sz w:val="22"/>
        </w:rPr>
        <w:t>UniSkill is conceived as a hybrid learning marketplace in which a student can discover another student by skill, reputation, and listed services, initiate a session request, and later move into a live room supported by signaling, chat, and structured status updates.</w:t>
      </w:r>
    </w:p>
    <w:p>
      <w:pPr>
        <w:spacing w:after="120" w:line="276" w:lineRule="auto"/>
        <w:ind w:firstLine="317"/>
      </w:pPr>
      <w:r>
        <w:rPr>
          <w:rFonts w:ascii="Calibri" w:hAnsi="Calibri"/>
          <w:b w:val="0"/>
          <w:i w:val="0"/>
          <w:sz w:val="22"/>
        </w:rPr>
        <w:t>The repository reveals a multi-surface product rather than a static portal. The landing area introduces the product, the dashboard summarizes activity, the explore area surfaces mentors and service listings, the profile area controls skills and offerings, and route handlers persist the life cycle through Supabase-backed APIs.</w:t>
      </w:r>
    </w:p>
    <w:p>
      <w:pPr>
        <w:spacing w:after="120" w:line="276" w:lineRule="auto"/>
        <w:ind w:firstLine="317"/>
      </w:pPr>
      <w:r>
        <w:rPr>
          <w:rFonts w:ascii="Calibri" w:hAnsi="Calibri"/>
          <w:b w:val="0"/>
          <w:i w:val="0"/>
          <w:sz w:val="22"/>
        </w:rPr>
        <w:t>This synopsis treats the project as both a deployable web application and an academic systems project, so the discussion covers user value, data integrity, security rules, implementation trade-offs, and measurable project outcomes.</w:t>
      </w:r>
    </w:p>
    <w:p>
      <w:pPr>
        <w:pStyle w:val="Heading2"/>
      </w:pPr>
      <w:r>
        <w:t>1.2 Problem Statement</w:t>
      </w:r>
    </w:p>
    <w:p>
      <w:pPr>
        <w:pStyle w:val="ListNumber"/>
        <w:spacing w:after="80"/>
      </w:pPr>
      <w:r>
        <w:rPr>
          <w:rFonts w:ascii="Calibri" w:hAnsi="Calibri"/>
          <w:b w:val="0"/>
          <w:i w:val="0"/>
          <w:sz w:val="20"/>
        </w:rPr>
        <w:t>Students usually find peer help through messaging groups, personal referrals, or chance interaction, which makes discovery unreliable and heavily biased toward existing social circles.</w:t>
      </w:r>
    </w:p>
    <w:p>
      <w:pPr>
        <w:pStyle w:val="ListNumber"/>
        <w:spacing w:after="80"/>
      </w:pPr>
      <w:r>
        <w:rPr>
          <w:rFonts w:ascii="Calibri" w:hAnsi="Calibri"/>
          <w:b w:val="0"/>
          <w:i w:val="0"/>
          <w:sz w:val="20"/>
        </w:rPr>
        <w:t>Learners often cannot compare teaching quality, availability, session structure, or expected cost before they commit to a session, so trust and decision quality remain low.</w:t>
      </w:r>
    </w:p>
    <w:p>
      <w:pPr>
        <w:pStyle w:val="ListNumber"/>
        <w:spacing w:after="80"/>
      </w:pPr>
      <w:r>
        <w:rPr>
          <w:rFonts w:ascii="Calibri" w:hAnsi="Calibri"/>
          <w:b w:val="0"/>
          <w:i w:val="0"/>
          <w:sz w:val="20"/>
        </w:rPr>
        <w:t>Students who can teach valuable skills have no structured campus-native system for building credibility, listing offers, and receiving value in a reusable campus economy.</w:t>
      </w:r>
    </w:p>
    <w:p>
      <w:pPr>
        <w:pStyle w:val="ListNumber"/>
        <w:spacing w:after="80"/>
      </w:pPr>
      <w:r>
        <w:rPr>
          <w:rFonts w:ascii="Calibri" w:hAnsi="Calibri"/>
          <w:b w:val="0"/>
          <w:i w:val="0"/>
          <w:sz w:val="20"/>
        </w:rPr>
        <w:t>Universities increasingly encourage collaborative learning, yet operational systems for verified peer exchange, credit flow, and accountable mentorship are usually absent.</w:t>
      </w:r>
    </w:p>
    <w:p>
      <w:pPr>
        <w:pStyle w:val="Heading1"/>
      </w:pPr>
      <w:r>
        <w:t>2. Literature Review</w:t>
      </w:r>
    </w:p>
    <w:p>
      <w:pPr>
        <w:pStyle w:val="Heading2"/>
      </w:pPr>
      <w:r>
        <w:t>2.1 Review Area: Peer Learning Ecosystems</w:t>
      </w:r>
    </w:p>
    <w:p>
      <w:pPr>
        <w:spacing w:after="120" w:line="276" w:lineRule="auto"/>
        <w:ind w:firstLine="317"/>
      </w:pPr>
      <w:r>
        <w:rPr>
          <w:rFonts w:ascii="Calibri" w:hAnsi="Calibri"/>
          <w:b w:val="0"/>
          <w:i w:val="0"/>
          <w:sz w:val="22"/>
        </w:rPr>
        <w:t>UniSkill approaches peer learning ecosystems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pStyle w:val="Heading2"/>
      </w:pPr>
      <w:r>
        <w:t>2.2 Review Area: Two-Sided Marketplaces</w:t>
      </w:r>
    </w:p>
    <w:p>
      <w:pPr>
        <w:spacing w:after="120" w:line="276" w:lineRule="auto"/>
        <w:ind w:firstLine="317"/>
      </w:pPr>
      <w:r>
        <w:rPr>
          <w:rFonts w:ascii="Calibri" w:hAnsi="Calibri"/>
          <w:b w:val="0"/>
          <w:i w:val="0"/>
          <w:sz w:val="22"/>
        </w:rPr>
        <w:t>UniSkill approaches two-sided marketplaces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pStyle w:val="Heading2"/>
      </w:pPr>
      <w:r>
        <w:t>2.3 Review Area: Digital Identity Verification In Education</w:t>
      </w:r>
    </w:p>
    <w:p>
      <w:pPr>
        <w:spacing w:after="120" w:line="276" w:lineRule="auto"/>
        <w:ind w:firstLine="317"/>
      </w:pPr>
      <w:r>
        <w:rPr>
          <w:rFonts w:ascii="Calibri" w:hAnsi="Calibri"/>
          <w:b w:val="0"/>
          <w:i w:val="0"/>
          <w:sz w:val="22"/>
        </w:rPr>
        <w:t>UniSkill approaches digital identity verification in education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pStyle w:val="Heading2"/>
      </w:pPr>
      <w:r>
        <w:t>2.4 Review Area: Virtual Credit Systems</w:t>
      </w:r>
    </w:p>
    <w:p>
      <w:pPr>
        <w:spacing w:after="120" w:line="276" w:lineRule="auto"/>
        <w:ind w:firstLine="317"/>
      </w:pPr>
      <w:r>
        <w:rPr>
          <w:rFonts w:ascii="Calibri" w:hAnsi="Calibri"/>
          <w:b w:val="0"/>
          <w:i w:val="0"/>
          <w:sz w:val="22"/>
        </w:rPr>
        <w:t>UniSkill approaches virtual credit systems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pStyle w:val="Heading2"/>
      </w:pPr>
      <w:r>
        <w:t>2.5 Review Area: Real-Time Collaboration Tools</w:t>
      </w:r>
    </w:p>
    <w:p>
      <w:pPr>
        <w:spacing w:after="120" w:line="276" w:lineRule="auto"/>
        <w:ind w:firstLine="317"/>
      </w:pPr>
      <w:r>
        <w:rPr>
          <w:rFonts w:ascii="Calibri" w:hAnsi="Calibri"/>
          <w:b w:val="0"/>
          <w:i w:val="0"/>
          <w:sz w:val="22"/>
        </w:rPr>
        <w:t>UniSkill approaches real-time collaboration tools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pStyle w:val="Heading2"/>
      </w:pPr>
      <w:r>
        <w:t>2.6 Review Area: Row-Level Security In Saas Products</w:t>
      </w:r>
    </w:p>
    <w:p>
      <w:pPr>
        <w:spacing w:after="120" w:line="276" w:lineRule="auto"/>
        <w:ind w:firstLine="317"/>
      </w:pPr>
      <w:r>
        <w:rPr>
          <w:rFonts w:ascii="Calibri" w:hAnsi="Calibri"/>
          <w:b w:val="0"/>
          <w:i w:val="0"/>
          <w:sz w:val="22"/>
        </w:rPr>
        <w:t>UniSkill approaches row-level security in SaaS products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pStyle w:val="Heading2"/>
      </w:pPr>
      <w:r>
        <w:t>2.7 Gap Analysis</w:t>
      </w:r>
    </w:p>
    <w:p>
      <w:pPr>
        <w:spacing w:after="120" w:line="276" w:lineRule="auto"/>
        <w:ind w:firstLine="317"/>
      </w:pPr>
      <w:r>
        <w:rPr>
          <w:rFonts w:ascii="Calibri" w:hAnsi="Calibri"/>
          <w:b w:val="0"/>
          <w:i w:val="0"/>
          <w:sz w:val="22"/>
        </w:rPr>
        <w:t>Existing tutoring and freelance systems are either too generic, too commercially oriented, or too weak on institutional trust. UniSkill fills the gap by combining campus identity, peer-to-peer service exchange, educational intent, and a reusable credits model inside one coherent architecture.</w:t>
      </w:r>
    </w:p>
    <w:p>
      <w:pPr>
        <w:pStyle w:val="Heading1"/>
      </w:pPr>
      <w:r>
        <w:t>3. Problem Definition</w:t>
      </w:r>
    </w:p>
    <w:p>
      <w:pPr>
        <w:pStyle w:val="Heading2"/>
      </w:pPr>
      <w:r>
        <w:t>3.1 Discovery Friction</w:t>
      </w:r>
    </w:p>
    <w:p>
      <w:pPr>
        <w:spacing w:after="120" w:line="276" w:lineRule="auto"/>
        <w:ind w:firstLine="317"/>
      </w:pPr>
      <w:r>
        <w:rPr>
          <w:rFonts w:ascii="Calibri" w:hAnsi="Calibri"/>
          <w:b w:val="0"/>
          <w:i w:val="0"/>
          <w:sz w:val="22"/>
        </w:rPr>
        <w:t>UniSkill approaches mentor discovery through a campus-first design lens in which current student workflows rely on manual coordination and uncertain follow-through. The current repository shows that the platform blends search pages, profile metadata, and room identifiers, allowing the system to support both immediate usability and disciplined back-end control. From a project documentation perspective, this matters because the need for structured orchestration becomes obvious, which makes the design traceable from user need through schema, API behavior, and interface flow.</w:t>
      </w:r>
    </w:p>
    <w:p>
      <w:pPr>
        <w:pStyle w:val="Heading2"/>
      </w:pPr>
      <w:r>
        <w:t>3.2 Trust Deficit</w:t>
      </w:r>
    </w:p>
    <w:p>
      <w:pPr>
        <w:spacing w:after="120" w:line="276" w:lineRule="auto"/>
        <w:ind w:firstLine="317"/>
      </w:pPr>
      <w:r>
        <w:rPr>
          <w:rFonts w:ascii="Calibri" w:hAnsi="Calibri"/>
          <w:b w:val="0"/>
          <w:i w:val="0"/>
          <w:sz w:val="22"/>
        </w:rPr>
        <w:t>UniSkill approaches identity and reliability through a campus-first design lens in which current student workflows rely on manual coordination and uncertain follow-through. The current repository shows that the platform blends search pages, profile metadata, and room identifiers, allowing the system to support both immediate usability and disciplined back-end control. From a project documentation perspective, this matters because the need for structured orchestration becomes obvious, which makes the design traceable from user need through schema, API behavior, and interface flow.</w:t>
      </w:r>
    </w:p>
    <w:p>
      <w:pPr>
        <w:pStyle w:val="Heading2"/>
      </w:pPr>
      <w:r>
        <w:t>3.3 Informal Payments and Accountability</w:t>
      </w:r>
    </w:p>
    <w:p>
      <w:pPr>
        <w:spacing w:after="120" w:line="276" w:lineRule="auto"/>
        <w:ind w:firstLine="317"/>
      </w:pPr>
      <w:r>
        <w:rPr>
          <w:rFonts w:ascii="Calibri" w:hAnsi="Calibri"/>
          <w:b w:val="0"/>
          <w:i w:val="0"/>
          <w:sz w:val="22"/>
        </w:rPr>
        <w:t>UniSkill approaches wallet control through a campus-first design lens in which current student workflows rely on manual coordination and uncertain follow-through. The current repository shows that the platform blends search pages, profile metadata, and room identifiers, allowing the system to support both immediate usability and disciplined back-end control. From a project documentation perspective, this matters because the need for structured orchestration becomes obvious, which makes the design traceable from user need through schema, API behavior, and interface flow.</w:t>
      </w:r>
    </w:p>
    <w:p>
      <w:pPr>
        <w:pStyle w:val="Heading2"/>
      </w:pPr>
      <w:r>
        <w:t>3.4 Fragmented Communication</w:t>
      </w:r>
    </w:p>
    <w:p>
      <w:pPr>
        <w:spacing w:after="120" w:line="276" w:lineRule="auto"/>
        <w:ind w:firstLine="317"/>
      </w:pPr>
      <w:r>
        <w:rPr>
          <w:rFonts w:ascii="Calibri" w:hAnsi="Calibri"/>
          <w:b w:val="0"/>
          <w:i w:val="0"/>
          <w:sz w:val="22"/>
        </w:rPr>
        <w:t>UniSkill approaches session coordination through a campus-first design lens in which current student workflows rely on manual coordination and uncertain follow-through. The current repository shows that the platform blends search pages, profile metadata, and room identifiers, allowing the system to support both immediate usability and disciplined back-end control. From a project documentation perspective, this matters because the need for structured orchestration becomes obvious, which makes the design traceable from user need through schema, API behavior, and interface flow.</w:t>
      </w:r>
    </w:p>
    <w:p>
      <w:pPr>
        <w:pStyle w:val="Heading1"/>
      </w:pPr>
      <w:r>
        <w:t>4. Objectives</w:t>
      </w:r>
    </w:p>
    <w:p>
      <w:pPr>
        <w:pStyle w:val="ListNumber"/>
        <w:spacing w:after="80"/>
      </w:pPr>
      <w:r>
        <w:rPr>
          <w:rFonts w:ascii="Calibri" w:hAnsi="Calibri"/>
          <w:b w:val="0"/>
          <w:i w:val="0"/>
          <w:sz w:val="20"/>
        </w:rPr>
        <w:t>Build a verified skill exchange platform tailored to university students and lightweight enough for repeated daily use.</w:t>
      </w:r>
    </w:p>
    <w:p>
      <w:pPr>
        <w:pStyle w:val="ListNumber"/>
        <w:spacing w:after="80"/>
      </w:pPr>
      <w:r>
        <w:rPr>
          <w:rFonts w:ascii="Calibri" w:hAnsi="Calibri"/>
          <w:b w:val="0"/>
          <w:i w:val="0"/>
          <w:sz w:val="20"/>
        </w:rPr>
        <w:t>Design a modular architecture in which frontend, backend, realtime transport, and Supabase persistence can evolve independently.</w:t>
      </w:r>
    </w:p>
    <w:p>
      <w:pPr>
        <w:pStyle w:val="ListNumber"/>
        <w:spacing w:after="80"/>
      </w:pPr>
      <w:r>
        <w:rPr>
          <w:rFonts w:ascii="Calibri" w:hAnsi="Calibri"/>
          <w:b w:val="0"/>
          <w:i w:val="0"/>
          <w:sz w:val="20"/>
        </w:rPr>
        <w:t>Establish a trust framework through OTP verification, private verification vault storage, and role-based data access rules.</w:t>
      </w:r>
    </w:p>
    <w:p>
      <w:pPr>
        <w:pStyle w:val="ListNumber"/>
        <w:spacing w:after="80"/>
      </w:pPr>
      <w:r>
        <w:rPr>
          <w:rFonts w:ascii="Calibri" w:hAnsi="Calibri"/>
          <w:b w:val="0"/>
          <w:i w:val="0"/>
          <w:sz w:val="20"/>
        </w:rPr>
        <w:t>Create a sustainable credit economy that rewards teaching, tracks transfers, and preserves a clear financial-style audit trail.</w:t>
      </w:r>
    </w:p>
    <w:p>
      <w:pPr>
        <w:pStyle w:val="ListNumber"/>
        <w:spacing w:after="80"/>
      </w:pPr>
      <w:r>
        <w:rPr>
          <w:rFonts w:ascii="Calibri" w:hAnsi="Calibri"/>
          <w:b w:val="0"/>
          <w:i w:val="0"/>
          <w:sz w:val="20"/>
        </w:rPr>
        <w:t>Support mentorship discovery and booking through profile signals, service listings, session creation, and real-time follow-up.</w:t>
      </w:r>
    </w:p>
    <w:p>
      <w:pPr>
        <w:pStyle w:val="ListNumber"/>
        <w:spacing w:after="80"/>
      </w:pPr>
      <w:r>
        <w:rPr>
          <w:rFonts w:ascii="Calibri" w:hAnsi="Calibri"/>
          <w:b w:val="0"/>
          <w:i w:val="0"/>
          <w:sz w:val="20"/>
        </w:rPr>
        <w:t>Provide an extensible base for future admin analytics, dispute management, automated matchmaking, and institutional rollout.</w:t>
      </w:r>
    </w:p>
    <w:p>
      <w:pPr>
        <w:pStyle w:val="Heading1"/>
      </w:pPr>
      <w:r>
        <w:t>5. Scope and Feasibility</w:t>
      </w:r>
    </w:p>
    <w:p>
      <w:pPr>
        <w:pStyle w:val="Heading2"/>
      </w:pPr>
      <w:r>
        <w:t>5.1 Scope of Current Implementation</w:t>
      </w:r>
    </w:p>
    <w:p>
      <w:pPr>
        <w:pStyle w:val="ListBullet"/>
        <w:spacing w:after="80"/>
      </w:pPr>
      <w:r>
        <w:rPr>
          <w:rFonts w:ascii="Calibri" w:hAnsi="Calibri"/>
          <w:b w:val="0"/>
          <w:i w:val="0"/>
          <w:sz w:val="20"/>
        </w:rPr>
        <w:t>Account creation, login, OTP dispatch, and verification status tracking</w:t>
      </w:r>
    </w:p>
    <w:p>
      <w:pPr>
        <w:pStyle w:val="ListBullet"/>
        <w:spacing w:after="80"/>
      </w:pPr>
      <w:r>
        <w:rPr>
          <w:rFonts w:ascii="Calibri" w:hAnsi="Calibri"/>
          <w:b w:val="0"/>
          <w:i w:val="0"/>
          <w:sz w:val="20"/>
        </w:rPr>
        <w:t>Profile compatibility layer for both legacy and reconciled Supabase schema fields</w:t>
      </w:r>
    </w:p>
    <w:p>
      <w:pPr>
        <w:pStyle w:val="ListBullet"/>
        <w:spacing w:after="80"/>
      </w:pPr>
      <w:r>
        <w:rPr>
          <w:rFonts w:ascii="Calibri" w:hAnsi="Calibri"/>
          <w:b w:val="0"/>
          <w:i w:val="0"/>
          <w:sz w:val="20"/>
        </w:rPr>
        <w:t>Marketplace exploration for mentors and service listings</w:t>
      </w:r>
    </w:p>
    <w:p>
      <w:pPr>
        <w:pStyle w:val="ListBullet"/>
        <w:spacing w:after="80"/>
      </w:pPr>
      <w:r>
        <w:rPr>
          <w:rFonts w:ascii="Calibri" w:hAnsi="Calibri"/>
          <w:b w:val="0"/>
          <w:i w:val="0"/>
          <w:sz w:val="20"/>
        </w:rPr>
        <w:t>Session record creation and room identifier generation</w:t>
      </w:r>
    </w:p>
    <w:p>
      <w:pPr>
        <w:pStyle w:val="ListBullet"/>
        <w:spacing w:after="80"/>
      </w:pPr>
      <w:r>
        <w:rPr>
          <w:rFonts w:ascii="Calibri" w:hAnsi="Calibri"/>
          <w:b w:val="0"/>
          <w:i w:val="0"/>
          <w:sz w:val="20"/>
        </w:rPr>
        <w:t>Wallet viewing, credit purchase simulation, and credit transfer routes</w:t>
      </w:r>
    </w:p>
    <w:p>
      <w:pPr>
        <w:pStyle w:val="ListBullet"/>
        <w:spacing w:after="80"/>
      </w:pPr>
      <w:r>
        <w:rPr>
          <w:rFonts w:ascii="Calibri" w:hAnsi="Calibri"/>
          <w:b w:val="0"/>
          <w:i w:val="0"/>
          <w:sz w:val="20"/>
        </w:rPr>
        <w:t>Realtime signaling and chat events through Socket.io rooms</w:t>
      </w:r>
    </w:p>
    <w:p>
      <w:pPr>
        <w:spacing w:after="120" w:line="276" w:lineRule="auto"/>
        <w:ind w:firstLine="317"/>
      </w:pPr>
      <w:r>
        <w:rPr>
          <w:rFonts w:ascii="Calibri" w:hAnsi="Calibri"/>
          <w:b w:val="0"/>
          <w:i w:val="0"/>
          <w:sz w:val="22"/>
        </w:rPr>
        <w:t>5.1 is strengthened by the fact that UniSkill already demonstrates a working integration pattern across interface, API endpoints, and schema migration artifacts.</w:t>
      </w:r>
    </w:p>
    <w:p>
      <w:pPr>
        <w:pStyle w:val="Heading2"/>
      </w:pPr>
      <w:r>
        <w:t>5.2 Operational Feasibility</w:t>
      </w:r>
    </w:p>
    <w:p>
      <w:pPr>
        <w:pStyle w:val="ListBullet"/>
        <w:spacing w:after="80"/>
      </w:pPr>
      <w:r>
        <w:rPr>
          <w:rFonts w:ascii="Calibri" w:hAnsi="Calibri"/>
          <w:b w:val="0"/>
          <w:i w:val="0"/>
          <w:sz w:val="20"/>
        </w:rPr>
        <w:t>Students already use browsers and mobile-responsive portals as their default campus interaction surface.</w:t>
      </w:r>
    </w:p>
    <w:p>
      <w:pPr>
        <w:pStyle w:val="ListBullet"/>
        <w:spacing w:after="80"/>
      </w:pPr>
      <w:r>
        <w:rPr>
          <w:rFonts w:ascii="Calibri" w:hAnsi="Calibri"/>
          <w:b w:val="0"/>
          <w:i w:val="0"/>
          <w:sz w:val="20"/>
        </w:rPr>
        <w:t>The system stack runs on mainstream developer tools and does not require unusual local hardware.</w:t>
      </w:r>
    </w:p>
    <w:p>
      <w:pPr>
        <w:pStyle w:val="ListBullet"/>
        <w:spacing w:after="80"/>
      </w:pPr>
      <w:r>
        <w:rPr>
          <w:rFonts w:ascii="Calibri" w:hAnsi="Calibri"/>
          <w:b w:val="0"/>
          <w:i w:val="0"/>
          <w:sz w:val="20"/>
        </w:rPr>
        <w:t>Supabase reduces infrastructure friction by combining auth, database, storage, and policy controls.</w:t>
      </w:r>
    </w:p>
    <w:p>
      <w:pPr>
        <w:spacing w:after="120" w:line="276" w:lineRule="auto"/>
        <w:ind w:firstLine="317"/>
      </w:pPr>
      <w:r>
        <w:rPr>
          <w:rFonts w:ascii="Calibri" w:hAnsi="Calibri"/>
          <w:b w:val="0"/>
          <w:i w:val="0"/>
          <w:sz w:val="22"/>
        </w:rPr>
        <w:t>5.2 is strengthened by the fact that UniSkill already demonstrates a working integration pattern across interface, API endpoints, and schema migration artifacts.</w:t>
      </w:r>
    </w:p>
    <w:p>
      <w:pPr>
        <w:pStyle w:val="Heading2"/>
      </w:pPr>
      <w:r>
        <w:t>5.3 Technical Feasibility</w:t>
      </w:r>
    </w:p>
    <w:p>
      <w:pPr>
        <w:pStyle w:val="ListBullet"/>
        <w:spacing w:after="80"/>
      </w:pPr>
      <w:r>
        <w:rPr>
          <w:rFonts w:ascii="Calibri" w:hAnsi="Calibri"/>
          <w:b w:val="0"/>
          <w:i w:val="0"/>
          <w:sz w:val="20"/>
        </w:rPr>
        <w:t>The chosen stack is mature, well-supported, and already represented in the repository.</w:t>
      </w:r>
    </w:p>
    <w:p>
      <w:pPr>
        <w:pStyle w:val="ListBullet"/>
        <w:spacing w:after="80"/>
      </w:pPr>
      <w:r>
        <w:rPr>
          <w:rFonts w:ascii="Calibri" w:hAnsi="Calibri"/>
          <w:b w:val="0"/>
          <w:i w:val="0"/>
          <w:sz w:val="20"/>
        </w:rPr>
        <w:t>Data-intensive requirements are moderate, making PostgreSQL and RLS an appropriate fit.</w:t>
      </w:r>
    </w:p>
    <w:p>
      <w:pPr>
        <w:pStyle w:val="ListBullet"/>
        <w:spacing w:after="80"/>
      </w:pPr>
      <w:r>
        <w:rPr>
          <w:rFonts w:ascii="Calibri" w:hAnsi="Calibri"/>
          <w:b w:val="0"/>
          <w:i w:val="0"/>
          <w:sz w:val="20"/>
        </w:rPr>
        <w:t>The architecture can be deployed incrementally, allowing staged validation of each module.</w:t>
      </w:r>
    </w:p>
    <w:p>
      <w:pPr>
        <w:spacing w:after="120" w:line="276" w:lineRule="auto"/>
        <w:ind w:firstLine="317"/>
      </w:pPr>
      <w:r>
        <w:rPr>
          <w:rFonts w:ascii="Calibri" w:hAnsi="Calibri"/>
          <w:b w:val="0"/>
          <w:i w:val="0"/>
          <w:sz w:val="22"/>
        </w:rPr>
        <w:t>5.3 is strengthened by the fact that UniSkill already demonstrates a working integration pattern across interface, API endpoints, and schema migration artifacts.</w:t>
      </w:r>
    </w:p>
    <w:p>
      <w:pPr>
        <w:pStyle w:val="Heading2"/>
      </w:pPr>
      <w:r>
        <w:t>5.4 Economic Feasibility</w:t>
      </w:r>
    </w:p>
    <w:p>
      <w:pPr>
        <w:pStyle w:val="ListBullet"/>
        <w:spacing w:after="80"/>
      </w:pPr>
      <w:r>
        <w:rPr>
          <w:rFonts w:ascii="Calibri" w:hAnsi="Calibri"/>
          <w:b w:val="0"/>
          <w:i w:val="0"/>
          <w:sz w:val="20"/>
        </w:rPr>
        <w:t>The platform can begin on low-cost managed services while serving a limited campus cohort.</w:t>
      </w:r>
    </w:p>
    <w:p>
      <w:pPr>
        <w:pStyle w:val="ListBullet"/>
        <w:spacing w:after="80"/>
      </w:pPr>
      <w:r>
        <w:rPr>
          <w:rFonts w:ascii="Calibri" w:hAnsi="Calibri"/>
          <w:b w:val="0"/>
          <w:i w:val="0"/>
          <w:sz w:val="20"/>
        </w:rPr>
        <w:t>Virtual credits minimize payment gateway dependence during early validation phases.</w:t>
      </w:r>
    </w:p>
    <w:p>
      <w:pPr>
        <w:pStyle w:val="ListBullet"/>
        <w:spacing w:after="80"/>
      </w:pPr>
      <w:r>
        <w:rPr>
          <w:rFonts w:ascii="Calibri" w:hAnsi="Calibri"/>
          <w:b w:val="0"/>
          <w:i w:val="0"/>
          <w:sz w:val="20"/>
        </w:rPr>
        <w:t>Reuse of open-source frameworks reduces capital expenditure for prototyping and iteration.</w:t>
      </w:r>
    </w:p>
    <w:p>
      <w:pPr>
        <w:spacing w:after="120" w:line="276" w:lineRule="auto"/>
        <w:ind w:firstLine="317"/>
      </w:pPr>
      <w:r>
        <w:rPr>
          <w:rFonts w:ascii="Calibri" w:hAnsi="Calibri"/>
          <w:b w:val="0"/>
          <w:i w:val="0"/>
          <w:sz w:val="22"/>
        </w:rPr>
        <w:t>5.4 is strengthened by the fact that UniSkill already demonstrates a working integration pattern across interface, API endpoints, and schema migration artifacts.</w:t>
      </w:r>
    </w:p>
    <w:p>
      <w:pPr>
        <w:pStyle w:val="Heading1"/>
      </w:pPr>
      <w:r>
        <w:t>6. Existing and Proposed System</w:t>
      </w:r>
    </w:p>
    <w:p>
      <w:pPr>
        <w:pStyle w:val="Heading2"/>
      </w:pPr>
      <w:r>
        <w:t>6.1 Existing System</w:t>
      </w:r>
    </w:p>
    <w:tbl>
      <w:tblPr>
        <w:tblStyle w:val="TableGrid"/>
        <w:tblW w:type="auto" w:w="0"/>
        <w:tblLook w:firstColumn="1" w:firstRow="1" w:lastColumn="0" w:lastRow="0" w:noHBand="0" w:noVBand="1" w:val="04A0"/>
      </w:tblPr>
      <w:tblGrid>
        <w:gridCol w:w="3312"/>
        <w:gridCol w:w="3312"/>
        <w:gridCol w:w="3312"/>
      </w:tblGrid>
      <w:tr>
        <w:tc>
          <w:tcPr>
            <w:tcW w:type="dxa" w:w="1872"/>
            <w:shd w:fill="DDEBF7"/>
          </w:tcPr>
          <w:p>
            <w:pPr>
              <w:jc w:val="left"/>
            </w:pPr>
            <w:r/>
            <w:r>
              <w:rPr>
                <w:rFonts w:ascii="Calibri" w:hAnsi="Calibri"/>
                <w:b/>
                <w:i w:val="0"/>
                <w:sz w:val="20"/>
              </w:rPr>
              <w:t>Aspect</w:t>
            </w:r>
          </w:p>
        </w:tc>
        <w:tc>
          <w:tcPr>
            <w:tcW w:type="dxa" w:w="3456"/>
            <w:shd w:fill="DDEBF7"/>
          </w:tcPr>
          <w:p>
            <w:pPr>
              <w:jc w:val="left"/>
            </w:pPr>
            <w:r/>
            <w:r>
              <w:rPr>
                <w:rFonts w:ascii="Calibri" w:hAnsi="Calibri"/>
                <w:b/>
                <w:i w:val="0"/>
                <w:sz w:val="20"/>
              </w:rPr>
              <w:t>Existing informal practice</w:t>
            </w:r>
          </w:p>
        </w:tc>
        <w:tc>
          <w:tcPr>
            <w:tcW w:type="dxa" w:w="3744"/>
            <w:shd w:fill="DDEBF7"/>
          </w:tcPr>
          <w:p>
            <w:pPr>
              <w:jc w:val="left"/>
            </w:pPr>
            <w:r/>
            <w:r>
              <w:rPr>
                <w:rFonts w:ascii="Calibri" w:hAnsi="Calibri"/>
                <w:b/>
                <w:i w:val="0"/>
                <w:sz w:val="20"/>
              </w:rPr>
              <w:t>Limitation</w:t>
            </w:r>
          </w:p>
        </w:tc>
      </w:tr>
      <w:tr>
        <w:tc>
          <w:tcPr>
            <w:tcW w:type="dxa" w:w="1872"/>
          </w:tcPr>
          <w:p>
            <w:pPr>
              <w:jc w:val="left"/>
            </w:pPr>
            <w:r/>
            <w:r>
              <w:rPr>
                <w:rFonts w:ascii="Calibri" w:hAnsi="Calibri"/>
                <w:b w:val="0"/>
                <w:i w:val="0"/>
                <w:sz w:val="18"/>
              </w:rPr>
              <w:t>Discovery</w:t>
            </w:r>
          </w:p>
        </w:tc>
        <w:tc>
          <w:tcPr>
            <w:tcW w:type="dxa" w:w="3456"/>
          </w:tcPr>
          <w:p>
            <w:pPr>
              <w:jc w:val="left"/>
            </w:pPr>
            <w:r/>
            <w:r>
              <w:rPr>
                <w:rFonts w:ascii="Calibri" w:hAnsi="Calibri"/>
                <w:b w:val="0"/>
                <w:i w:val="0"/>
                <w:sz w:val="18"/>
              </w:rPr>
              <w:t>WhatsApp groups, peers, referrals</w:t>
            </w:r>
          </w:p>
        </w:tc>
        <w:tc>
          <w:tcPr>
            <w:tcW w:type="dxa" w:w="3744"/>
          </w:tcPr>
          <w:p>
            <w:pPr>
              <w:jc w:val="left"/>
            </w:pPr>
            <w:r/>
            <w:r>
              <w:rPr>
                <w:rFonts w:ascii="Calibri" w:hAnsi="Calibri"/>
                <w:b w:val="0"/>
                <w:i w:val="0"/>
                <w:sz w:val="18"/>
              </w:rPr>
              <w:t>No structured search or rating context</w:t>
            </w:r>
          </w:p>
        </w:tc>
      </w:tr>
      <w:tr>
        <w:tc>
          <w:tcPr>
            <w:tcW w:type="dxa" w:w="1872"/>
          </w:tcPr>
          <w:p>
            <w:pPr>
              <w:jc w:val="left"/>
            </w:pPr>
            <w:r/>
            <w:r>
              <w:rPr>
                <w:rFonts w:ascii="Calibri" w:hAnsi="Calibri"/>
                <w:b w:val="0"/>
                <w:i w:val="0"/>
                <w:sz w:val="18"/>
              </w:rPr>
              <w:t>Trust</w:t>
            </w:r>
          </w:p>
        </w:tc>
        <w:tc>
          <w:tcPr>
            <w:tcW w:type="dxa" w:w="3456"/>
          </w:tcPr>
          <w:p>
            <w:pPr>
              <w:jc w:val="left"/>
            </w:pPr>
            <w:r/>
            <w:r>
              <w:rPr>
                <w:rFonts w:ascii="Calibri" w:hAnsi="Calibri"/>
                <w:b w:val="0"/>
                <w:i w:val="0"/>
                <w:sz w:val="18"/>
              </w:rPr>
              <w:t>Personal belief</w:t>
            </w:r>
          </w:p>
        </w:tc>
        <w:tc>
          <w:tcPr>
            <w:tcW w:type="dxa" w:w="3744"/>
          </w:tcPr>
          <w:p>
            <w:pPr>
              <w:jc w:val="left"/>
            </w:pPr>
            <w:r/>
            <w:r>
              <w:rPr>
                <w:rFonts w:ascii="Calibri" w:hAnsi="Calibri"/>
                <w:b w:val="0"/>
                <w:i w:val="0"/>
                <w:sz w:val="18"/>
              </w:rPr>
              <w:t>No auditable verification or persistent service history</w:t>
            </w:r>
          </w:p>
        </w:tc>
      </w:tr>
      <w:tr>
        <w:tc>
          <w:tcPr>
            <w:tcW w:type="dxa" w:w="1872"/>
          </w:tcPr>
          <w:p>
            <w:pPr>
              <w:jc w:val="left"/>
            </w:pPr>
            <w:r/>
            <w:r>
              <w:rPr>
                <w:rFonts w:ascii="Calibri" w:hAnsi="Calibri"/>
                <w:b w:val="0"/>
                <w:i w:val="0"/>
                <w:sz w:val="18"/>
              </w:rPr>
              <w:t>Payment</w:t>
            </w:r>
          </w:p>
        </w:tc>
        <w:tc>
          <w:tcPr>
            <w:tcW w:type="dxa" w:w="3456"/>
          </w:tcPr>
          <w:p>
            <w:pPr>
              <w:jc w:val="left"/>
            </w:pPr>
            <w:r/>
            <w:r>
              <w:rPr>
                <w:rFonts w:ascii="Calibri" w:hAnsi="Calibri"/>
                <w:b w:val="0"/>
                <w:i w:val="0"/>
                <w:sz w:val="18"/>
              </w:rPr>
              <w:t>Cash or favors</w:t>
            </w:r>
          </w:p>
        </w:tc>
        <w:tc>
          <w:tcPr>
            <w:tcW w:type="dxa" w:w="3744"/>
          </w:tcPr>
          <w:p>
            <w:pPr>
              <w:jc w:val="left"/>
            </w:pPr>
            <w:r/>
            <w:r>
              <w:rPr>
                <w:rFonts w:ascii="Calibri" w:hAnsi="Calibri"/>
                <w:b w:val="0"/>
                <w:i w:val="0"/>
                <w:sz w:val="18"/>
              </w:rPr>
              <w:t>Awkward, inconsistent, and hard to reconcile</w:t>
            </w:r>
          </w:p>
        </w:tc>
      </w:tr>
      <w:tr>
        <w:tc>
          <w:tcPr>
            <w:tcW w:type="dxa" w:w="1872"/>
          </w:tcPr>
          <w:p>
            <w:pPr>
              <w:jc w:val="left"/>
            </w:pPr>
            <w:r/>
            <w:r>
              <w:rPr>
                <w:rFonts w:ascii="Calibri" w:hAnsi="Calibri"/>
                <w:b w:val="0"/>
                <w:i w:val="0"/>
                <w:sz w:val="18"/>
              </w:rPr>
              <w:t>Scheduling</w:t>
            </w:r>
          </w:p>
        </w:tc>
        <w:tc>
          <w:tcPr>
            <w:tcW w:type="dxa" w:w="3456"/>
          </w:tcPr>
          <w:p>
            <w:pPr>
              <w:jc w:val="left"/>
            </w:pPr>
            <w:r/>
            <w:r>
              <w:rPr>
                <w:rFonts w:ascii="Calibri" w:hAnsi="Calibri"/>
                <w:b w:val="0"/>
                <w:i w:val="0"/>
                <w:sz w:val="18"/>
              </w:rPr>
              <w:t>Manual chat threads</w:t>
            </w:r>
          </w:p>
        </w:tc>
        <w:tc>
          <w:tcPr>
            <w:tcW w:type="dxa" w:w="3744"/>
          </w:tcPr>
          <w:p>
            <w:pPr>
              <w:jc w:val="left"/>
            </w:pPr>
            <w:r/>
            <w:r>
              <w:rPr>
                <w:rFonts w:ascii="Calibri" w:hAnsi="Calibri"/>
                <w:b w:val="0"/>
                <w:i w:val="0"/>
                <w:sz w:val="18"/>
              </w:rPr>
              <w:t>High coordination cost and missed follow-up</w:t>
            </w:r>
          </w:p>
        </w:tc>
      </w:tr>
      <w:tr>
        <w:tc>
          <w:tcPr>
            <w:tcW w:type="dxa" w:w="1872"/>
          </w:tcPr>
          <w:p>
            <w:pPr>
              <w:jc w:val="left"/>
            </w:pPr>
            <w:r/>
            <w:r>
              <w:rPr>
                <w:rFonts w:ascii="Calibri" w:hAnsi="Calibri"/>
                <w:b w:val="0"/>
                <w:i w:val="0"/>
                <w:sz w:val="18"/>
              </w:rPr>
              <w:t>Quality</w:t>
            </w:r>
          </w:p>
        </w:tc>
        <w:tc>
          <w:tcPr>
            <w:tcW w:type="dxa" w:w="3456"/>
          </w:tcPr>
          <w:p>
            <w:pPr>
              <w:jc w:val="left"/>
            </w:pPr>
            <w:r/>
            <w:r>
              <w:rPr>
                <w:rFonts w:ascii="Calibri" w:hAnsi="Calibri"/>
                <w:b w:val="0"/>
                <w:i w:val="0"/>
                <w:sz w:val="18"/>
              </w:rPr>
              <w:t>Word of mouth</w:t>
            </w:r>
          </w:p>
        </w:tc>
        <w:tc>
          <w:tcPr>
            <w:tcW w:type="dxa" w:w="3744"/>
          </w:tcPr>
          <w:p>
            <w:pPr>
              <w:jc w:val="left"/>
            </w:pPr>
            <w:r/>
            <w:r>
              <w:rPr>
                <w:rFonts w:ascii="Calibri" w:hAnsi="Calibri"/>
                <w:b w:val="0"/>
                <w:i w:val="0"/>
                <w:sz w:val="18"/>
              </w:rPr>
              <w:t>No unified review or session record</w:t>
            </w:r>
          </w:p>
        </w:tc>
      </w:tr>
    </w:tbl>
    <w:p/>
    <w:p>
      <w:pPr>
        <w:pStyle w:val="Heading2"/>
      </w:pPr>
      <w:r>
        <w:t>6.2 Proposed System</w:t>
      </w:r>
    </w:p>
    <w:p>
      <w:pPr>
        <w:spacing w:after="120" w:line="276" w:lineRule="auto"/>
        <w:ind w:firstLine="317"/>
      </w:pPr>
      <w:r>
        <w:rPr>
          <w:rFonts w:ascii="Calibri" w:hAnsi="Calibri"/>
          <w:b w:val="0"/>
          <w:i w:val="0"/>
          <w:sz w:val="22"/>
        </w:rPr>
        <w:t>UniSkill approaches the proposed UniSkill system through a campus-first design lens in which each user journey is stored as a combination of profile, service, session, and transaction state. The current repository shows that the platform blends server route orchestration and Supabase persistence, allowing the system to support both immediate usability and disciplined back-end control. From a project documentation perspective, this matters because functional scope can be traced to measurable entities, which makes the design traceable from user need through schema, API behavior, and interface flow.</w:t>
      </w:r>
    </w:p>
    <w:p>
      <w:pPr>
        <w:pStyle w:val="Heading1"/>
      </w:pPr>
      <w:r>
        <w:t>7. Methodology and Architecture</w:t>
      </w:r>
    </w:p>
    <w:p>
      <w:pPr>
        <w:pStyle w:val="Heading2"/>
      </w:pPr>
      <w:r>
        <w:t>7.1 Development Methodology</w:t>
      </w:r>
    </w:p>
    <w:p>
      <w:pPr>
        <w:spacing w:after="120" w:line="276" w:lineRule="auto"/>
        <w:ind w:firstLine="317"/>
      </w:pPr>
      <w:r>
        <w:rPr>
          <w:rFonts w:ascii="Calibri" w:hAnsi="Calibri"/>
          <w:b w:val="0"/>
          <w:i w:val="0"/>
          <w:sz w:val="22"/>
        </w:rPr>
        <w:t>An incremental and feedback-driven methodology suits UniSkill because user experience, trust flow, and schema evolution influence one another. The repository shows iterative refinement, including schema reconciliation migrations, compatibility handling inside the frontend auth context, and modular route definition in the backend.</w:t>
      </w:r>
    </w:p>
    <w:p>
      <w:pPr>
        <w:spacing w:after="120" w:line="276" w:lineRule="auto"/>
        <w:ind w:firstLine="317"/>
      </w:pPr>
      <w:r>
        <w:rPr>
          <w:rFonts w:ascii="Calibri" w:hAnsi="Calibri"/>
          <w:b w:val="0"/>
          <w:i w:val="0"/>
          <w:sz w:val="22"/>
        </w:rPr>
        <w:t>From a project management standpoint, the work can be framed as an agile campus product: onboarding and profile flows validate trust assumptions first, marketplace and service listing flows validate discoverability, and session plus wallet features validate the exchange model.</w:t>
      </w:r>
    </w:p>
    <w:p>
      <w:pPr>
        <w:pStyle w:val="Heading2"/>
      </w:pPr>
      <w:r>
        <w:t>7.2 System Architecture Overview</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component_design.png"/>
                    <pic:cNvPicPr/>
                  </pic:nvPicPr>
                  <pic:blipFill>
                    <a:blip r:embed="rId12"/>
                    <a:stretch>
                      <a:fillRect/>
                    </a:stretch>
                  </pic:blipFill>
                  <pic:spPr>
                    <a:xfrm>
                      <a:off x="0" y="0"/>
                      <a:ext cx="5943600" cy="3343275"/>
                    </a:xfrm>
                    <a:prstGeom prst="rect"/>
                  </pic:spPr>
                </pic:pic>
              </a:graphicData>
            </a:graphic>
          </wp:inline>
        </w:drawing>
      </w:r>
    </w:p>
    <w:p>
      <w:pPr>
        <w:jc w:val="center"/>
      </w:pPr>
      <w:r>
        <w:rPr>
          <w:rFonts w:ascii="Calibri" w:hAnsi="Calibri"/>
          <w:b w:val="0"/>
          <w:i/>
          <w:color w:val="617993"/>
          <w:sz w:val="20"/>
        </w:rPr>
        <w:t>Figure 7.2: Component design spanning UI surfaces, route handlers, and persistence services</w:t>
      </w:r>
    </w:p>
    <w:p>
      <w:pPr>
        <w:spacing w:after="120" w:line="276" w:lineRule="auto"/>
        <w:ind w:firstLine="317"/>
      </w:pPr>
      <w:r>
        <w:rPr>
          <w:rFonts w:ascii="Calibri" w:hAnsi="Calibri"/>
          <w:b w:val="0"/>
          <w:i w:val="0"/>
          <w:sz w:val="22"/>
        </w:rPr>
        <w:t>The architecture is layered but not rigidly monolithic. Client pages in the Next.js app own user interaction and SSR-aware session handling. Route handlers provide server-side mediation for profiles, sessions, and service listings. Express routes handle OTP, wallet behavior, auth-specific logic, and realtime event transport. Supabase anchors identity, relational storage, and security policy enforcement.</w:t>
      </w:r>
    </w:p>
    <w:p>
      <w:pPr>
        <w:pStyle w:val="Heading2"/>
      </w:pPr>
      <w:r>
        <w:t>7.3 Database and Security Strategy</w:t>
      </w:r>
    </w:p>
    <w:p>
      <w:pPr>
        <w:spacing w:after="120" w:line="276" w:lineRule="auto"/>
        <w:ind w:firstLine="317"/>
      </w:pPr>
      <w:r>
        <w:rPr>
          <w:rFonts w:ascii="Calibri" w:hAnsi="Calibri"/>
          <w:b w:val="0"/>
          <w:i w:val="0"/>
          <w:sz w:val="22"/>
        </w:rPr>
        <w:t>UniSkill approaches database security through a campus-first design lens in which public profile discoverability coexists with private verification storage. The current repository shows that the platform blends profiles, user_verification_vault, and RLS policies, allowing the system to support both immediate usability and disciplined back-end control. From a project documentation perspective, this matters because privacy boundaries can be clearly justified, which makes the design traceable from user need through schema, API behavior, and interface flow.</w:t>
      </w:r>
    </w:p>
    <w:p>
      <w:pPr>
        <w:pStyle w:val="Heading1"/>
      </w:pPr>
      <w:r>
        <w:t>8. Module Description</w:t>
      </w:r>
    </w:p>
    <w:p>
      <w:pPr>
        <w:pStyle w:val="Heading2"/>
      </w:pPr>
      <w:r>
        <w:t>8.1 Authentication and Verification Module</w:t>
      </w:r>
    </w:p>
    <w:p>
      <w:pPr>
        <w:spacing w:after="120" w:line="276" w:lineRule="auto"/>
        <w:ind w:firstLine="317"/>
      </w:pPr>
      <w:r>
        <w:rPr>
          <w:rFonts w:ascii="Calibri" w:hAnsi="Calibri"/>
          <w:b w:val="0"/>
          <w:i w:val="0"/>
          <w:sz w:val="22"/>
        </w:rPr>
        <w:t>This module covers registration, login, OTP sending, OTP verification, verification status checks, and secure session persistence.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8.1 Authentication and Verification Module through a campus-first design lens in which the module must balance convenience with validation. The current repository shows that the platform blends registration, login, OTP sending, OTP verification, verification status checks, and secure session persistence,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pStyle w:val="Heading2"/>
      </w:pPr>
      <w:r>
        <w:t>8.2 Profile and Identity Module</w:t>
      </w:r>
    </w:p>
    <w:p>
      <w:pPr>
        <w:spacing w:after="120" w:line="276" w:lineRule="auto"/>
        <w:ind w:firstLine="317"/>
      </w:pPr>
      <w:r>
        <w:rPr>
          <w:rFonts w:ascii="Calibri" w:hAnsi="Calibri"/>
          <w:b w:val="0"/>
          <w:i w:val="0"/>
          <w:sz w:val="22"/>
        </w:rPr>
        <w:t>This module covers student-facing profile editing, compatibility mapping, public trust indicators, and teaching or learning metadata.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8.2 Profile and Identity Module through a campus-first design lens in which the module must balance convenience with validation. The current repository shows that the platform blends student-facing profile editing, compatibility mapping, public trust indicators, and teaching or learning metadata,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pStyle w:val="Heading2"/>
      </w:pPr>
      <w:r>
        <w:t>8.3 Marketplace and Discovery Module</w:t>
      </w:r>
    </w:p>
    <w:p>
      <w:pPr>
        <w:spacing w:after="120" w:line="276" w:lineRule="auto"/>
        <w:ind w:firstLine="317"/>
      </w:pPr>
      <w:r>
        <w:rPr>
          <w:rFonts w:ascii="Calibri" w:hAnsi="Calibri"/>
          <w:b w:val="0"/>
          <w:i w:val="0"/>
          <w:sz w:val="22"/>
        </w:rPr>
        <w:t>This module covers mentor exploration, filters, skill matching, service listing retrieval, and campus-oriented categorization.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8.3 Marketplace and Discovery Module through a campus-first design lens in which the module must balance convenience with validation. The current repository shows that the platform blends mentor exploration, filters, skill matching, service listing retrieval, and campus-oriented categorization,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pStyle w:val="Heading2"/>
      </w:pPr>
      <w:r>
        <w:t>8.4 Session Lifecycle Module</w:t>
      </w:r>
    </w:p>
    <w:p>
      <w:pPr>
        <w:spacing w:after="120" w:line="276" w:lineRule="auto"/>
        <w:ind w:firstLine="317"/>
      </w:pPr>
      <w:r>
        <w:rPr>
          <w:rFonts w:ascii="Calibri" w:hAnsi="Calibri"/>
          <w:b w:val="0"/>
          <w:i w:val="0"/>
          <w:sz w:val="22"/>
        </w:rPr>
        <w:t>This module covers booking initiation, room creation, pending and confirmed states, realtime handoff, and session completion intent.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8.4 Session Lifecycle Module through a campus-first design lens in which the module must balance convenience with validation. The current repository shows that the platform blends booking initiation, room creation, pending and confirmed states, realtime handoff, and session completion intent,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pStyle w:val="Heading2"/>
      </w:pPr>
      <w:r>
        <w:t>8.5 Wallet and Transaction Module</w:t>
      </w:r>
    </w:p>
    <w:p>
      <w:pPr>
        <w:spacing w:after="120" w:line="276" w:lineRule="auto"/>
        <w:ind w:firstLine="317"/>
      </w:pPr>
      <w:r>
        <w:rPr>
          <w:rFonts w:ascii="Calibri" w:hAnsi="Calibri"/>
          <w:b w:val="0"/>
          <w:i w:val="0"/>
          <w:sz w:val="22"/>
        </w:rPr>
        <w:t>This module covers wallet snapshots, transaction history, credit top-up simulation, and peer transfer logic.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8.5 Wallet and Transaction Module through a campus-first design lens in which the module must balance convenience with validation. The current repository shows that the platform blends wallet snapshots, transaction history, credit top-up simulation, and peer transfer logic,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pStyle w:val="Heading2"/>
      </w:pPr>
      <w:r>
        <w:t>8.6 Realtime Communication Module</w:t>
      </w:r>
    </w:p>
    <w:p>
      <w:pPr>
        <w:spacing w:after="120" w:line="276" w:lineRule="auto"/>
        <w:ind w:firstLine="317"/>
      </w:pPr>
      <w:r>
        <w:rPr>
          <w:rFonts w:ascii="Calibri" w:hAnsi="Calibri"/>
          <w:b w:val="0"/>
          <w:i w:val="0"/>
          <w:sz w:val="22"/>
        </w:rPr>
        <w:t>This module covers Socket.io room join events, signal relay, chat message propagation, and call termination notifications.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8.6 Realtime Communication Module through a campus-first design lens in which the module must balance convenience with validation. The current repository shows that the platform blends Socket.io room join events, signal relay, chat message propagation, and call termination notifications,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pStyle w:val="Heading2"/>
      </w:pPr>
      <w:r>
        <w:t>8.7 Admin and Governance Extension Module</w:t>
      </w:r>
    </w:p>
    <w:p>
      <w:pPr>
        <w:spacing w:after="120" w:line="276" w:lineRule="auto"/>
        <w:ind w:firstLine="317"/>
      </w:pPr>
      <w:r>
        <w:rPr>
          <w:rFonts w:ascii="Calibri" w:hAnsi="Calibri"/>
          <w:b w:val="0"/>
          <w:i w:val="0"/>
          <w:sz w:val="22"/>
        </w:rPr>
        <w:t>This module covers verification review, dispute handling, analytics, and trust moderation envisioned over the current base.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8.7 Admin and Governance Extension Module through a campus-first design lens in which the module must balance convenience with validation. The current repository shows that the platform blends verification review, dispute handling, analytics, and trust moderation envisioned over the current base,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pStyle w:val="Heading1"/>
      </w:pPr>
      <w:r>
        <w:t>9. Requirements and Tools</w:t>
      </w:r>
    </w:p>
    <w:tbl>
      <w:tblPr>
        <w:tblStyle w:val="TableGrid"/>
        <w:tblW w:type="auto" w:w="0"/>
        <w:tblLook w:firstColumn="1" w:firstRow="1" w:lastColumn="0" w:lastRow="0" w:noHBand="0" w:noVBand="1" w:val="04A0"/>
      </w:tblPr>
      <w:tblGrid>
        <w:gridCol w:w="3312"/>
        <w:gridCol w:w="3312"/>
        <w:gridCol w:w="3312"/>
      </w:tblGrid>
      <w:tr>
        <w:tc>
          <w:tcPr>
            <w:tcW w:type="dxa" w:w="1584"/>
            <w:shd w:fill="DDEBF7"/>
          </w:tcPr>
          <w:p>
            <w:pPr>
              <w:jc w:val="left"/>
            </w:pPr>
            <w:r/>
            <w:r>
              <w:rPr>
                <w:rFonts w:ascii="Calibri" w:hAnsi="Calibri"/>
                <w:b/>
                <w:i w:val="0"/>
                <w:sz w:val="20"/>
              </w:rPr>
              <w:t>Layer</w:t>
            </w:r>
          </w:p>
        </w:tc>
        <w:tc>
          <w:tcPr>
            <w:tcW w:type="dxa" w:w="3888"/>
            <w:shd w:fill="DDEBF7"/>
          </w:tcPr>
          <w:p>
            <w:pPr>
              <w:jc w:val="left"/>
            </w:pPr>
            <w:r/>
            <w:r>
              <w:rPr>
                <w:rFonts w:ascii="Calibri" w:hAnsi="Calibri"/>
                <w:b/>
                <w:i w:val="0"/>
                <w:sz w:val="20"/>
              </w:rPr>
              <w:t>Technology</w:t>
            </w:r>
          </w:p>
        </w:tc>
        <w:tc>
          <w:tcPr>
            <w:tcW w:type="dxa" w:w="3600"/>
            <w:shd w:fill="DDEBF7"/>
          </w:tcPr>
          <w:p>
            <w:pPr>
              <w:jc w:val="left"/>
            </w:pPr>
            <w:r/>
            <w:r>
              <w:rPr>
                <w:rFonts w:ascii="Calibri" w:hAnsi="Calibri"/>
                <w:b/>
                <w:i w:val="0"/>
                <w:sz w:val="20"/>
              </w:rPr>
              <w:t>Usage in UniSkill</w:t>
            </w:r>
          </w:p>
        </w:tc>
      </w:tr>
      <w:tr>
        <w:tc>
          <w:tcPr>
            <w:tcW w:type="dxa" w:w="1584"/>
          </w:tcPr>
          <w:p>
            <w:pPr>
              <w:jc w:val="left"/>
            </w:pPr>
            <w:r/>
            <w:r>
              <w:rPr>
                <w:rFonts w:ascii="Calibri" w:hAnsi="Calibri"/>
                <w:b w:val="0"/>
                <w:i w:val="0"/>
                <w:sz w:val="18"/>
              </w:rPr>
              <w:t>Frontend</w:t>
            </w:r>
          </w:p>
        </w:tc>
        <w:tc>
          <w:tcPr>
            <w:tcW w:type="dxa" w:w="3888"/>
          </w:tcPr>
          <w:p>
            <w:pPr>
              <w:jc w:val="left"/>
            </w:pPr>
            <w:r/>
            <w:r>
              <w:rPr>
                <w:rFonts w:ascii="Calibri" w:hAnsi="Calibri"/>
                <w:b w:val="0"/>
                <w:i w:val="0"/>
                <w:sz w:val="18"/>
              </w:rPr>
              <w:t>Next.js 16, React 19, Tailwind CSS 4, Framer Motion, Three.js</w:t>
            </w:r>
          </w:p>
        </w:tc>
        <w:tc>
          <w:tcPr>
            <w:tcW w:type="dxa" w:w="3600"/>
          </w:tcPr>
          <w:p>
            <w:pPr>
              <w:jc w:val="left"/>
            </w:pPr>
            <w:r/>
            <w:r>
              <w:rPr>
                <w:rFonts w:ascii="Calibri" w:hAnsi="Calibri"/>
                <w:b w:val="0"/>
                <w:i w:val="0"/>
                <w:sz w:val="18"/>
              </w:rPr>
              <w:t>Interactive UI, dashboards, profile forms, visual polish, browser rendering</w:t>
            </w:r>
          </w:p>
        </w:tc>
      </w:tr>
      <w:tr>
        <w:tc>
          <w:tcPr>
            <w:tcW w:type="dxa" w:w="1584"/>
          </w:tcPr>
          <w:p>
            <w:pPr>
              <w:jc w:val="left"/>
            </w:pPr>
            <w:r/>
            <w:r>
              <w:rPr>
                <w:rFonts w:ascii="Calibri" w:hAnsi="Calibri"/>
                <w:b w:val="0"/>
                <w:i w:val="0"/>
                <w:sz w:val="18"/>
              </w:rPr>
              <w:t>Backend</w:t>
            </w:r>
          </w:p>
        </w:tc>
        <w:tc>
          <w:tcPr>
            <w:tcW w:type="dxa" w:w="3888"/>
          </w:tcPr>
          <w:p>
            <w:pPr>
              <w:jc w:val="left"/>
            </w:pPr>
            <w:r/>
            <w:r>
              <w:rPr>
                <w:rFonts w:ascii="Calibri" w:hAnsi="Calibri"/>
                <w:b w:val="0"/>
                <w:i w:val="0"/>
                <w:sz w:val="18"/>
              </w:rPr>
              <w:t>Node.js, Express 5, TypeScript, Socket.io</w:t>
            </w:r>
          </w:p>
        </w:tc>
        <w:tc>
          <w:tcPr>
            <w:tcW w:type="dxa" w:w="3600"/>
          </w:tcPr>
          <w:p>
            <w:pPr>
              <w:jc w:val="left"/>
            </w:pPr>
            <w:r/>
            <w:r>
              <w:rPr>
                <w:rFonts w:ascii="Calibri" w:hAnsi="Calibri"/>
                <w:b w:val="0"/>
                <w:i w:val="0"/>
                <w:sz w:val="18"/>
              </w:rPr>
              <w:t>RESTful business routes, OTP handling, wallet logic, realtime signaling</w:t>
            </w:r>
          </w:p>
        </w:tc>
      </w:tr>
      <w:tr>
        <w:tc>
          <w:tcPr>
            <w:tcW w:type="dxa" w:w="1584"/>
          </w:tcPr>
          <w:p>
            <w:pPr>
              <w:jc w:val="left"/>
            </w:pPr>
            <w:r/>
            <w:r>
              <w:rPr>
                <w:rFonts w:ascii="Calibri" w:hAnsi="Calibri"/>
                <w:b w:val="0"/>
                <w:i w:val="0"/>
                <w:sz w:val="18"/>
              </w:rPr>
              <w:t>Database</w:t>
            </w:r>
          </w:p>
        </w:tc>
        <w:tc>
          <w:tcPr>
            <w:tcW w:type="dxa" w:w="3888"/>
          </w:tcPr>
          <w:p>
            <w:pPr>
              <w:jc w:val="left"/>
            </w:pPr>
            <w:r/>
            <w:r>
              <w:rPr>
                <w:rFonts w:ascii="Calibri" w:hAnsi="Calibri"/>
                <w:b w:val="0"/>
                <w:i w:val="0"/>
                <w:sz w:val="18"/>
              </w:rPr>
              <w:t>Supabase PostgreSQL with Row Level Security, triggers, and compatibility views</w:t>
            </w:r>
          </w:p>
        </w:tc>
        <w:tc>
          <w:tcPr>
            <w:tcW w:type="dxa" w:w="3600"/>
          </w:tcPr>
          <w:p>
            <w:pPr>
              <w:jc w:val="left"/>
            </w:pPr>
            <w:r/>
            <w:r>
              <w:rPr>
                <w:rFonts w:ascii="Calibri" w:hAnsi="Calibri"/>
                <w:b w:val="0"/>
                <w:i w:val="0"/>
                <w:sz w:val="18"/>
              </w:rPr>
              <w:t>Relational persistence, auth, policies, triggers, and storage</w:t>
            </w:r>
          </w:p>
        </w:tc>
      </w:tr>
      <w:tr>
        <w:tc>
          <w:tcPr>
            <w:tcW w:type="dxa" w:w="1584"/>
          </w:tcPr>
          <w:p>
            <w:pPr>
              <w:jc w:val="left"/>
            </w:pPr>
            <w:r/>
            <w:r>
              <w:rPr>
                <w:rFonts w:ascii="Calibri" w:hAnsi="Calibri"/>
                <w:b w:val="0"/>
                <w:i w:val="0"/>
                <w:sz w:val="18"/>
              </w:rPr>
              <w:t>ORM / Data Access</w:t>
            </w:r>
          </w:p>
        </w:tc>
        <w:tc>
          <w:tcPr>
            <w:tcW w:type="dxa" w:w="3888"/>
          </w:tcPr>
          <w:p>
            <w:pPr>
              <w:jc w:val="left"/>
            </w:pPr>
            <w:r/>
            <w:r>
              <w:rPr>
                <w:rFonts w:ascii="Calibri" w:hAnsi="Calibri"/>
                <w:b w:val="0"/>
                <w:i w:val="0"/>
                <w:sz w:val="18"/>
              </w:rPr>
              <w:t>Prisma and Supabase clients</w:t>
            </w:r>
          </w:p>
        </w:tc>
        <w:tc>
          <w:tcPr>
            <w:tcW w:type="dxa" w:w="3600"/>
          </w:tcPr>
          <w:p>
            <w:pPr>
              <w:jc w:val="left"/>
            </w:pPr>
            <w:r/>
            <w:r>
              <w:rPr>
                <w:rFonts w:ascii="Calibri" w:hAnsi="Calibri"/>
                <w:b w:val="0"/>
                <w:i w:val="0"/>
                <w:sz w:val="18"/>
              </w:rPr>
              <w:t>Typed schema reference plus query and auth operations</w:t>
            </w:r>
          </w:p>
        </w:tc>
      </w:tr>
      <w:tr>
        <w:tc>
          <w:tcPr>
            <w:tcW w:type="dxa" w:w="1584"/>
          </w:tcPr>
          <w:p>
            <w:pPr>
              <w:jc w:val="left"/>
            </w:pPr>
            <w:r/>
            <w:r>
              <w:rPr>
                <w:rFonts w:ascii="Calibri" w:hAnsi="Calibri"/>
                <w:b w:val="0"/>
                <w:i w:val="0"/>
                <w:sz w:val="18"/>
              </w:rPr>
              <w:t>Utilities</w:t>
            </w:r>
          </w:p>
        </w:tc>
        <w:tc>
          <w:tcPr>
            <w:tcW w:type="dxa" w:w="3888"/>
          </w:tcPr>
          <w:p>
            <w:pPr>
              <w:jc w:val="left"/>
            </w:pPr>
            <w:r/>
            <w:r>
              <w:rPr>
                <w:rFonts w:ascii="Calibri" w:hAnsi="Calibri"/>
                <w:b w:val="0"/>
                <w:i w:val="0"/>
                <w:sz w:val="18"/>
              </w:rPr>
              <w:t>Nodemailer, SSR cookie helpers, Lucide, motion libraries</w:t>
            </w:r>
          </w:p>
        </w:tc>
        <w:tc>
          <w:tcPr>
            <w:tcW w:type="dxa" w:w="3600"/>
          </w:tcPr>
          <w:p>
            <w:pPr>
              <w:jc w:val="left"/>
            </w:pPr>
            <w:r/>
            <w:r>
              <w:rPr>
                <w:rFonts w:ascii="Calibri" w:hAnsi="Calibri"/>
                <w:b w:val="0"/>
                <w:i w:val="0"/>
                <w:sz w:val="18"/>
              </w:rPr>
              <w:t>Emails, sessions, icons, and interaction quality</w:t>
            </w:r>
          </w:p>
        </w:tc>
      </w:tr>
    </w:tbl>
    <w:p/>
    <w:p>
      <w:pPr>
        <w:spacing w:after="120" w:line="276" w:lineRule="auto"/>
        <w:ind w:firstLine="317"/>
      </w:pPr>
      <w:r>
        <w:rPr>
          <w:rFonts w:ascii="Calibri" w:hAnsi="Calibri"/>
          <w:b w:val="0"/>
          <w:i w:val="0"/>
          <w:sz w:val="22"/>
        </w:rPr>
        <w:t>Hardware requirements remain modest for development, while production planning should emphasize network reliability, managed database throughput, secure secret storage, and observability around authentication and booking flows.</w:t>
      </w:r>
    </w:p>
    <w:p>
      <w:pPr>
        <w:pStyle w:val="Heading1"/>
      </w:pPr>
      <w:r>
        <w:t>10. Risks, Testing, and Deployment Strategy</w:t>
      </w:r>
    </w:p>
    <w:p>
      <w:pPr>
        <w:pStyle w:val="Heading2"/>
      </w:pPr>
      <w:r>
        <w:t>10.1 Key Risks</w:t>
      </w:r>
    </w:p>
    <w:p>
      <w:pPr>
        <w:pStyle w:val="ListBullet"/>
        <w:spacing w:after="80"/>
      </w:pPr>
      <w:r>
        <w:rPr>
          <w:rFonts w:ascii="Calibri" w:hAnsi="Calibri"/>
          <w:b w:val="0"/>
          <w:i w:val="0"/>
          <w:sz w:val="20"/>
        </w:rPr>
        <w:t>Schema drift between frontend expectations and live database structure</w:t>
      </w:r>
    </w:p>
    <w:p>
      <w:pPr>
        <w:pStyle w:val="ListBullet"/>
        <w:spacing w:after="80"/>
      </w:pPr>
      <w:r>
        <w:rPr>
          <w:rFonts w:ascii="Calibri" w:hAnsi="Calibri"/>
          <w:b w:val="0"/>
          <w:i w:val="0"/>
          <w:sz w:val="20"/>
        </w:rPr>
        <w:t>Weak verification if OTP and vault flows are not tightly validated</w:t>
      </w:r>
    </w:p>
    <w:p>
      <w:pPr>
        <w:pStyle w:val="ListBullet"/>
        <w:spacing w:after="80"/>
      </w:pPr>
      <w:r>
        <w:rPr>
          <w:rFonts w:ascii="Calibri" w:hAnsi="Calibri"/>
          <w:b w:val="0"/>
          <w:i w:val="0"/>
          <w:sz w:val="20"/>
        </w:rPr>
        <w:t>Credit inconsistencies if transfer operations are not wrapped in stronger transaction discipline</w:t>
      </w:r>
    </w:p>
    <w:p>
      <w:pPr>
        <w:pStyle w:val="ListBullet"/>
        <w:spacing w:after="80"/>
      </w:pPr>
      <w:r>
        <w:rPr>
          <w:rFonts w:ascii="Calibri" w:hAnsi="Calibri"/>
          <w:b w:val="0"/>
          <w:i w:val="0"/>
          <w:sz w:val="20"/>
        </w:rPr>
        <w:t>Realtime instability under poor networks or abrupt room exits</w:t>
      </w:r>
    </w:p>
    <w:p>
      <w:pPr>
        <w:spacing w:after="120" w:line="276" w:lineRule="auto"/>
        <w:ind w:firstLine="317"/>
      </w:pPr>
      <w:r>
        <w:rPr>
          <w:rFonts w:ascii="Calibri" w:hAnsi="Calibri"/>
          <w:b w:val="0"/>
          <w:i w:val="0"/>
          <w:sz w:val="22"/>
        </w:rPr>
        <w:t>Each of these concerns is directly relevant to UniSkill because the product only succeeds when trust, session completion, and balance integrity work together as one operational chain.</w:t>
      </w:r>
    </w:p>
    <w:p>
      <w:pPr>
        <w:pStyle w:val="Heading2"/>
      </w:pPr>
      <w:r>
        <w:t>10.2 Testing Strategy</w:t>
      </w:r>
    </w:p>
    <w:p>
      <w:pPr>
        <w:pStyle w:val="ListBullet"/>
        <w:spacing w:after="80"/>
      </w:pPr>
      <w:r>
        <w:rPr>
          <w:rFonts w:ascii="Calibri" w:hAnsi="Calibri"/>
          <w:b w:val="0"/>
          <w:i w:val="0"/>
          <w:sz w:val="20"/>
        </w:rPr>
        <w:t>Unit testing for validation helpers and route-level business checks</w:t>
      </w:r>
    </w:p>
    <w:p>
      <w:pPr>
        <w:pStyle w:val="ListBullet"/>
        <w:spacing w:after="80"/>
      </w:pPr>
      <w:r>
        <w:rPr>
          <w:rFonts w:ascii="Calibri" w:hAnsi="Calibri"/>
          <w:b w:val="0"/>
          <w:i w:val="0"/>
          <w:sz w:val="20"/>
        </w:rPr>
        <w:t>Integration tests for auth, session creation, and wallet transfer paths</w:t>
      </w:r>
    </w:p>
    <w:p>
      <w:pPr>
        <w:pStyle w:val="ListBullet"/>
        <w:spacing w:after="80"/>
      </w:pPr>
      <w:r>
        <w:rPr>
          <w:rFonts w:ascii="Calibri" w:hAnsi="Calibri"/>
          <w:b w:val="0"/>
          <w:i w:val="0"/>
          <w:sz w:val="20"/>
        </w:rPr>
        <w:t>UI scenario tests for signup, profile updates, mentor discovery, and room entry</w:t>
      </w:r>
    </w:p>
    <w:p>
      <w:pPr>
        <w:pStyle w:val="ListBullet"/>
        <w:spacing w:after="80"/>
      </w:pPr>
      <w:r>
        <w:rPr>
          <w:rFonts w:ascii="Calibri" w:hAnsi="Calibri"/>
          <w:b w:val="0"/>
          <w:i w:val="0"/>
          <w:sz w:val="20"/>
        </w:rPr>
        <w:t>Security verification of RLS behavior and sensitive-field exposure</w:t>
      </w:r>
    </w:p>
    <w:p>
      <w:pPr>
        <w:pStyle w:val="Heading2"/>
      </w:pPr>
      <w:r>
        <w:t>10.3 Deployment Strategy</w:t>
      </w:r>
    </w:p>
    <w:p>
      <w:pPr>
        <w:pStyle w:val="ListBullet"/>
        <w:spacing w:after="80"/>
      </w:pPr>
      <w:r>
        <w:rPr>
          <w:rFonts w:ascii="Calibri" w:hAnsi="Calibri"/>
          <w:b w:val="0"/>
          <w:i w:val="0"/>
          <w:sz w:val="20"/>
        </w:rPr>
        <w:t>Deploy frontend and backend separately but with aligned environment variables and origin rules</w:t>
      </w:r>
    </w:p>
    <w:p>
      <w:pPr>
        <w:pStyle w:val="ListBullet"/>
        <w:spacing w:after="80"/>
      </w:pPr>
      <w:r>
        <w:rPr>
          <w:rFonts w:ascii="Calibri" w:hAnsi="Calibri"/>
          <w:b w:val="0"/>
          <w:i w:val="0"/>
          <w:sz w:val="20"/>
        </w:rPr>
        <w:t>Use Supabase migrations as the canonical database change log</w:t>
      </w:r>
    </w:p>
    <w:p>
      <w:pPr>
        <w:pStyle w:val="ListBullet"/>
        <w:spacing w:after="80"/>
      </w:pPr>
      <w:r>
        <w:rPr>
          <w:rFonts w:ascii="Calibri" w:hAnsi="Calibri"/>
          <w:b w:val="0"/>
          <w:i w:val="0"/>
          <w:sz w:val="20"/>
        </w:rPr>
        <w:t>Monitor auth success, OTP delivery, booking completion, and transfer failure rates from the first pilot cohort</w:t>
      </w:r>
    </w:p>
    <w:p>
      <w:pPr>
        <w:pStyle w:val="Heading1"/>
      </w:pPr>
      <w:r>
        <w:t>11. Expected Outcomes and Future Enhancement</w:t>
      </w:r>
    </w:p>
    <w:p>
      <w:pPr>
        <w:spacing w:after="120" w:line="276" w:lineRule="auto"/>
        <w:ind w:firstLine="317"/>
      </w:pPr>
      <w:r>
        <w:rPr>
          <w:rFonts w:ascii="Calibri" w:hAnsi="Calibri"/>
          <w:b w:val="0"/>
          <w:i w:val="0"/>
          <w:sz w:val="22"/>
        </w:rPr>
        <w:t>UniSkill approaches expected outcomes through a campus-first design lens in which students gain a clearer path to either seek help or monetize expertise. The current repository shows that the platform blends discoverable profiles, session records, and credit-based exchange, allowing the system to support both immediate usability and disciplined back-end control. From a project documentation perspective, this matters because impact can be assessed through retention and session activity, which makes the design traceable from user need through schema, API behavior, and interface flow.</w:t>
      </w:r>
    </w:p>
    <w:p>
      <w:pPr>
        <w:pStyle w:val="Heading2"/>
      </w:pPr>
      <w:r>
        <w:t>11.1 Future Scope</w:t>
      </w:r>
    </w:p>
    <w:p>
      <w:pPr>
        <w:pStyle w:val="ListNumber"/>
        <w:spacing w:after="80"/>
      </w:pPr>
      <w:r>
        <w:rPr>
          <w:rFonts w:ascii="Calibri" w:hAnsi="Calibri"/>
          <w:b w:val="0"/>
          <w:i w:val="0"/>
          <w:sz w:val="20"/>
        </w:rPr>
        <w:t>AI-assisted mentor recommendation based on learning goals and prior outcomes.</w:t>
      </w:r>
    </w:p>
    <w:p>
      <w:pPr>
        <w:pStyle w:val="ListNumber"/>
        <w:spacing w:after="80"/>
      </w:pPr>
      <w:r>
        <w:rPr>
          <w:rFonts w:ascii="Calibri" w:hAnsi="Calibri"/>
          <w:b w:val="0"/>
          <w:i w:val="0"/>
          <w:sz w:val="20"/>
        </w:rPr>
        <w:t>Institution admin console for verification review, trust intervention, and usage analytics.</w:t>
      </w:r>
    </w:p>
    <w:p>
      <w:pPr>
        <w:pStyle w:val="ListNumber"/>
        <w:spacing w:after="80"/>
      </w:pPr>
      <w:r>
        <w:rPr>
          <w:rFonts w:ascii="Calibri" w:hAnsi="Calibri"/>
          <w:b w:val="0"/>
          <w:i w:val="0"/>
          <w:sz w:val="20"/>
        </w:rPr>
        <w:t>Calendar integration, reminders, and richer availability scheduling.</w:t>
      </w:r>
    </w:p>
    <w:p>
      <w:pPr>
        <w:pStyle w:val="ListNumber"/>
        <w:spacing w:after="80"/>
      </w:pPr>
      <w:r>
        <w:rPr>
          <w:rFonts w:ascii="Calibri" w:hAnsi="Calibri"/>
          <w:b w:val="0"/>
          <w:i w:val="0"/>
          <w:sz w:val="20"/>
        </w:rPr>
        <w:t>Session evidence capture, refunds, and dispute escalation workflows.</w:t>
      </w:r>
    </w:p>
    <w:p>
      <w:pPr>
        <w:pStyle w:val="ListNumber"/>
        <w:spacing w:after="80"/>
      </w:pPr>
      <w:r>
        <w:rPr>
          <w:rFonts w:ascii="Calibri" w:hAnsi="Calibri"/>
          <w:b w:val="0"/>
          <w:i w:val="0"/>
          <w:sz w:val="20"/>
        </w:rPr>
        <w:t>Cross-campus federation with domain-specific verification controls.</w:t>
      </w:r>
    </w:p>
    <w:p>
      <w:pPr>
        <w:pStyle w:val="Heading1"/>
      </w:pPr>
      <w:r>
        <w:t>12. Conclusion and References</w:t>
      </w:r>
    </w:p>
    <w:p>
      <w:pPr>
        <w:spacing w:after="120" w:line="276" w:lineRule="auto"/>
        <w:ind w:firstLine="317"/>
      </w:pPr>
      <w:r>
        <w:rPr>
          <w:rFonts w:ascii="Calibri" w:hAnsi="Calibri"/>
          <w:b w:val="0"/>
          <w:i w:val="0"/>
          <w:sz w:val="22"/>
        </w:rPr>
        <w:t>UniSkill stands out as a practical and academically meaningful software project because it combines modern full-stack engineering with a well-defined social need inside the university ecosystem. Its architecture is credible, its problem framing is concrete, and its implementation already shows the movement from concept to deployable product.</w:t>
      </w:r>
    </w:p>
    <w:p>
      <w:pPr>
        <w:pStyle w:val="Heading2"/>
      </w:pPr>
      <w:r>
        <w:t>12.1 References</w:t>
      </w:r>
    </w:p>
    <w:p>
      <w:pPr>
        <w:pStyle w:val="ListBullet"/>
        <w:spacing w:after="80"/>
      </w:pPr>
      <w:r>
        <w:rPr>
          <w:rFonts w:ascii="Calibri" w:hAnsi="Calibri"/>
          <w:b w:val="0"/>
          <w:i w:val="0"/>
          <w:sz w:val="20"/>
        </w:rPr>
        <w:t>UniSkill frontend and backend repository modules.</w:t>
      </w:r>
    </w:p>
    <w:p>
      <w:pPr>
        <w:pStyle w:val="ListBullet"/>
        <w:spacing w:after="80"/>
      </w:pPr>
      <w:r>
        <w:rPr>
          <w:rFonts w:ascii="Calibri" w:hAnsi="Calibri"/>
          <w:b w:val="0"/>
          <w:i w:val="0"/>
          <w:sz w:val="20"/>
        </w:rPr>
        <w:t>Supabase migration scripts defining profile, session, transaction, and verification structures.</w:t>
      </w:r>
    </w:p>
    <w:p>
      <w:pPr>
        <w:pStyle w:val="ListBullet"/>
        <w:spacing w:after="80"/>
      </w:pPr>
      <w:r>
        <w:rPr>
          <w:rFonts w:ascii="Calibri" w:hAnsi="Calibri"/>
          <w:b w:val="0"/>
          <w:i w:val="0"/>
          <w:sz w:val="20"/>
        </w:rPr>
        <w:t>Next.js, React, Express, Prisma, and Socket.io official documentation for implementation alignment.</w:t>
      </w:r>
    </w:p>
    <w:p>
      <w:pPr>
        <w:pStyle w:val="Heading1"/>
      </w:pPr>
      <w:r>
        <w:t>Appendix A: Stakeholder, Market, and Rollout Analysis</w:t>
      </w:r>
    </w:p>
    <w:p>
      <w:pPr>
        <w:pStyle w:val="Heading2"/>
      </w:pPr>
      <w:r>
        <w:t>A.1 Primary stakeholder expectations</w:t>
      </w:r>
    </w:p>
    <w:p>
      <w:pPr>
        <w:spacing w:after="120" w:line="276" w:lineRule="auto"/>
        <w:ind w:firstLine="317"/>
      </w:pPr>
      <w:r>
        <w:rPr>
          <w:rFonts w:ascii="Calibri" w:hAnsi="Calibri"/>
          <w:b w:val="0"/>
          <w:i w:val="0"/>
          <w:sz w:val="22"/>
        </w:rPr>
        <w:t>UniSkill approaches Primary stakeholder expectations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primary stakeholder expectations: the feature must remain understandable for a first-time student user.</w:t>
      </w:r>
    </w:p>
    <w:p>
      <w:pPr>
        <w:pStyle w:val="ListBullet"/>
        <w:spacing w:after="80"/>
      </w:pPr>
      <w:r>
        <w:rPr>
          <w:rFonts w:ascii="Calibri" w:hAnsi="Calibri"/>
          <w:b w:val="0"/>
          <w:i w:val="0"/>
          <w:sz w:val="20"/>
        </w:rPr>
        <w:t>Technical note for primary stakeholder expectations: API, schema, and UI state should remain synchronized.</w:t>
      </w:r>
    </w:p>
    <w:p>
      <w:pPr>
        <w:pStyle w:val="ListBullet"/>
        <w:spacing w:after="80"/>
      </w:pPr>
      <w:r>
        <w:rPr>
          <w:rFonts w:ascii="Calibri" w:hAnsi="Calibri"/>
          <w:b w:val="0"/>
          <w:i w:val="0"/>
          <w:sz w:val="20"/>
        </w:rPr>
        <w:t>Quality note for primary stakeholder expectations: failures should preserve traceability and user confidence.</w:t>
      </w:r>
    </w:p>
    <w:p>
      <w:pPr>
        <w:pStyle w:val="Heading2"/>
      </w:pPr>
      <w:r>
        <w:t>A.2 Learner success metrics</w:t>
      </w:r>
    </w:p>
    <w:p>
      <w:pPr>
        <w:spacing w:after="120" w:line="276" w:lineRule="auto"/>
        <w:ind w:firstLine="317"/>
      </w:pPr>
      <w:r>
        <w:rPr>
          <w:rFonts w:ascii="Calibri" w:hAnsi="Calibri"/>
          <w:b w:val="0"/>
          <w:i w:val="0"/>
          <w:sz w:val="22"/>
        </w:rPr>
        <w:t>UniSkill approaches Learner success metrics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learner success metrics: the feature must remain understandable for a first-time student user.</w:t>
      </w:r>
    </w:p>
    <w:p>
      <w:pPr>
        <w:pStyle w:val="ListBullet"/>
        <w:spacing w:after="80"/>
      </w:pPr>
      <w:r>
        <w:rPr>
          <w:rFonts w:ascii="Calibri" w:hAnsi="Calibri"/>
          <w:b w:val="0"/>
          <w:i w:val="0"/>
          <w:sz w:val="20"/>
        </w:rPr>
        <w:t>Technical note for learner success metrics: API, schema, and UI state should remain synchronized.</w:t>
      </w:r>
    </w:p>
    <w:p>
      <w:pPr>
        <w:pStyle w:val="ListBullet"/>
        <w:spacing w:after="80"/>
      </w:pPr>
      <w:r>
        <w:rPr>
          <w:rFonts w:ascii="Calibri" w:hAnsi="Calibri"/>
          <w:b w:val="0"/>
          <w:i w:val="0"/>
          <w:sz w:val="20"/>
        </w:rPr>
        <w:t>Quality note for learner success metrics: failures should preserve traceability and user confidence.</w:t>
      </w:r>
    </w:p>
    <w:p>
      <w:pPr>
        <w:pStyle w:val="Heading2"/>
      </w:pPr>
      <w:r>
        <w:t>A.3 Mentor motivation structure</w:t>
      </w:r>
    </w:p>
    <w:p>
      <w:pPr>
        <w:spacing w:after="120" w:line="276" w:lineRule="auto"/>
        <w:ind w:firstLine="317"/>
      </w:pPr>
      <w:r>
        <w:rPr>
          <w:rFonts w:ascii="Calibri" w:hAnsi="Calibri"/>
          <w:b w:val="0"/>
          <w:i w:val="0"/>
          <w:sz w:val="22"/>
        </w:rPr>
        <w:t>UniSkill approaches Mentor motivation structure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mentor motivation structure: the feature must remain understandable for a first-time student user.</w:t>
      </w:r>
    </w:p>
    <w:p>
      <w:pPr>
        <w:pStyle w:val="ListBullet"/>
        <w:spacing w:after="80"/>
      </w:pPr>
      <w:r>
        <w:rPr>
          <w:rFonts w:ascii="Calibri" w:hAnsi="Calibri"/>
          <w:b w:val="0"/>
          <w:i w:val="0"/>
          <w:sz w:val="20"/>
        </w:rPr>
        <w:t>Technical note for mentor motivation structure: API, schema, and UI state should remain synchronized.</w:t>
      </w:r>
    </w:p>
    <w:p>
      <w:pPr>
        <w:pStyle w:val="ListBullet"/>
        <w:spacing w:after="80"/>
      </w:pPr>
      <w:r>
        <w:rPr>
          <w:rFonts w:ascii="Calibri" w:hAnsi="Calibri"/>
          <w:b w:val="0"/>
          <w:i w:val="0"/>
          <w:sz w:val="20"/>
        </w:rPr>
        <w:t>Quality note for mentor motivation structure: failures should preserve traceability and user confidence.</w:t>
      </w:r>
    </w:p>
    <w:p>
      <w:pPr>
        <w:pStyle w:val="Heading2"/>
      </w:pPr>
      <w:r>
        <w:t>A.4 Campus trust and institutional concerns</w:t>
      </w:r>
    </w:p>
    <w:p>
      <w:pPr>
        <w:spacing w:after="120" w:line="276" w:lineRule="auto"/>
        <w:ind w:firstLine="317"/>
      </w:pPr>
      <w:r>
        <w:rPr>
          <w:rFonts w:ascii="Calibri" w:hAnsi="Calibri"/>
          <w:b w:val="0"/>
          <w:i w:val="0"/>
          <w:sz w:val="22"/>
        </w:rPr>
        <w:t>UniSkill approaches Campus trust and institutional concerns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campus trust and institutional concerns: the feature must remain understandable for a first-time student user.</w:t>
      </w:r>
    </w:p>
    <w:p>
      <w:pPr>
        <w:pStyle w:val="ListBullet"/>
        <w:spacing w:after="80"/>
      </w:pPr>
      <w:r>
        <w:rPr>
          <w:rFonts w:ascii="Calibri" w:hAnsi="Calibri"/>
          <w:b w:val="0"/>
          <w:i w:val="0"/>
          <w:sz w:val="20"/>
        </w:rPr>
        <w:t>Technical note for campus trust and institutional concerns: API, schema, and UI state should remain synchronized.</w:t>
      </w:r>
    </w:p>
    <w:p>
      <w:pPr>
        <w:pStyle w:val="ListBullet"/>
        <w:spacing w:after="80"/>
      </w:pPr>
      <w:r>
        <w:rPr>
          <w:rFonts w:ascii="Calibri" w:hAnsi="Calibri"/>
          <w:b w:val="0"/>
          <w:i w:val="0"/>
          <w:sz w:val="20"/>
        </w:rPr>
        <w:t>Quality note for campus trust and institutional concerns: failures should preserve traceability and user confidence.</w:t>
      </w:r>
    </w:p>
    <w:p>
      <w:pPr>
        <w:pStyle w:val="Heading2"/>
      </w:pPr>
      <w:r>
        <w:t>A.5 Adoption barriers in the early pilot phase</w:t>
      </w:r>
    </w:p>
    <w:p>
      <w:pPr>
        <w:spacing w:after="120" w:line="276" w:lineRule="auto"/>
        <w:ind w:firstLine="317"/>
      </w:pPr>
      <w:r>
        <w:rPr>
          <w:rFonts w:ascii="Calibri" w:hAnsi="Calibri"/>
          <w:b w:val="0"/>
          <w:i w:val="0"/>
          <w:sz w:val="22"/>
        </w:rPr>
        <w:t>UniSkill approaches Adoption barriers in the early pilot phase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adoption barriers in the early pilot phase: the feature must remain understandable for a first-time student user.</w:t>
      </w:r>
    </w:p>
    <w:p>
      <w:pPr>
        <w:pStyle w:val="ListBullet"/>
        <w:spacing w:after="80"/>
      </w:pPr>
      <w:r>
        <w:rPr>
          <w:rFonts w:ascii="Calibri" w:hAnsi="Calibri"/>
          <w:b w:val="0"/>
          <w:i w:val="0"/>
          <w:sz w:val="20"/>
        </w:rPr>
        <w:t>Technical note for adoption barriers in the early pilot phase: API, schema, and UI state should remain synchronized.</w:t>
      </w:r>
    </w:p>
    <w:p>
      <w:pPr>
        <w:pStyle w:val="ListBullet"/>
        <w:spacing w:after="80"/>
      </w:pPr>
      <w:r>
        <w:rPr>
          <w:rFonts w:ascii="Calibri" w:hAnsi="Calibri"/>
          <w:b w:val="0"/>
          <w:i w:val="0"/>
          <w:sz w:val="20"/>
        </w:rPr>
        <w:t>Quality note for adoption barriers in the early pilot phase: failures should preserve traceability and user confidence.</w:t>
      </w:r>
    </w:p>
    <w:p>
      <w:pPr>
        <w:pStyle w:val="Heading2"/>
      </w:pPr>
      <w:r>
        <w:t>A.6 Marketplace liquidity strategy</w:t>
      </w:r>
    </w:p>
    <w:p>
      <w:pPr>
        <w:spacing w:after="120" w:line="276" w:lineRule="auto"/>
        <w:ind w:firstLine="317"/>
      </w:pPr>
      <w:r>
        <w:rPr>
          <w:rFonts w:ascii="Calibri" w:hAnsi="Calibri"/>
          <w:b w:val="0"/>
          <w:i w:val="0"/>
          <w:sz w:val="22"/>
        </w:rPr>
        <w:t>UniSkill approaches Marketplace liquidity strategy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marketplace liquidity strategy: the feature must remain understandable for a first-time student user.</w:t>
      </w:r>
    </w:p>
    <w:p>
      <w:pPr>
        <w:pStyle w:val="ListBullet"/>
        <w:spacing w:after="80"/>
      </w:pPr>
      <w:r>
        <w:rPr>
          <w:rFonts w:ascii="Calibri" w:hAnsi="Calibri"/>
          <w:b w:val="0"/>
          <w:i w:val="0"/>
          <w:sz w:val="20"/>
        </w:rPr>
        <w:t>Technical note for marketplace liquidity strategy: API, schema, and UI state should remain synchronized.</w:t>
      </w:r>
    </w:p>
    <w:p>
      <w:pPr>
        <w:pStyle w:val="ListBullet"/>
        <w:spacing w:after="80"/>
      </w:pPr>
      <w:r>
        <w:rPr>
          <w:rFonts w:ascii="Calibri" w:hAnsi="Calibri"/>
          <w:b w:val="0"/>
          <w:i w:val="0"/>
          <w:sz w:val="20"/>
        </w:rPr>
        <w:t>Quality note for marketplace liquidity strategy: failures should preserve traceability and user confidence.</w:t>
      </w:r>
    </w:p>
    <w:p>
      <w:pPr>
        <w:pStyle w:val="Heading2"/>
      </w:pPr>
      <w:r>
        <w:t>A.7 Credit-economy sustainability assumptions</w:t>
      </w:r>
    </w:p>
    <w:p>
      <w:pPr>
        <w:spacing w:after="120" w:line="276" w:lineRule="auto"/>
        <w:ind w:firstLine="317"/>
      </w:pPr>
      <w:r>
        <w:rPr>
          <w:rFonts w:ascii="Calibri" w:hAnsi="Calibri"/>
          <w:b w:val="0"/>
          <w:i w:val="0"/>
          <w:sz w:val="22"/>
        </w:rPr>
        <w:t>UniSkill approaches Credit-economy sustainability assumptions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credit-economy sustainability assumptions: the feature must remain understandable for a first-time student user.</w:t>
      </w:r>
    </w:p>
    <w:p>
      <w:pPr>
        <w:pStyle w:val="ListBullet"/>
        <w:spacing w:after="80"/>
      </w:pPr>
      <w:r>
        <w:rPr>
          <w:rFonts w:ascii="Calibri" w:hAnsi="Calibri"/>
          <w:b w:val="0"/>
          <w:i w:val="0"/>
          <w:sz w:val="20"/>
        </w:rPr>
        <w:t>Technical note for credit-economy sustainability assumptions: API, schema, and UI state should remain synchronized.</w:t>
      </w:r>
    </w:p>
    <w:p>
      <w:pPr>
        <w:pStyle w:val="ListBullet"/>
        <w:spacing w:after="80"/>
      </w:pPr>
      <w:r>
        <w:rPr>
          <w:rFonts w:ascii="Calibri" w:hAnsi="Calibri"/>
          <w:b w:val="0"/>
          <w:i w:val="0"/>
          <w:sz w:val="20"/>
        </w:rPr>
        <w:t>Quality note for credit-economy sustainability assumptions: failures should preserve traceability and user confidence.</w:t>
      </w:r>
    </w:p>
    <w:p>
      <w:pPr>
        <w:pStyle w:val="Heading2"/>
      </w:pPr>
      <w:r>
        <w:t>A.8 Support and moderation considerations</w:t>
      </w:r>
    </w:p>
    <w:p>
      <w:pPr>
        <w:spacing w:after="120" w:line="276" w:lineRule="auto"/>
        <w:ind w:firstLine="317"/>
      </w:pPr>
      <w:r>
        <w:rPr>
          <w:rFonts w:ascii="Calibri" w:hAnsi="Calibri"/>
          <w:b w:val="0"/>
          <w:i w:val="0"/>
          <w:sz w:val="22"/>
        </w:rPr>
        <w:t>UniSkill approaches Support and moderation considerations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support and moderation considerations: the feature must remain understandable for a first-time student user.</w:t>
      </w:r>
    </w:p>
    <w:p>
      <w:pPr>
        <w:pStyle w:val="ListBullet"/>
        <w:spacing w:after="80"/>
      </w:pPr>
      <w:r>
        <w:rPr>
          <w:rFonts w:ascii="Calibri" w:hAnsi="Calibri"/>
          <w:b w:val="0"/>
          <w:i w:val="0"/>
          <w:sz w:val="20"/>
        </w:rPr>
        <w:t>Technical note for support and moderation considerations: API, schema, and UI state should remain synchronized.</w:t>
      </w:r>
    </w:p>
    <w:p>
      <w:pPr>
        <w:pStyle w:val="ListBullet"/>
        <w:spacing w:after="80"/>
      </w:pPr>
      <w:r>
        <w:rPr>
          <w:rFonts w:ascii="Calibri" w:hAnsi="Calibri"/>
          <w:b w:val="0"/>
          <w:i w:val="0"/>
          <w:sz w:val="20"/>
        </w:rPr>
        <w:t>Quality note for support and moderation considerations: failures should preserve traceability and user confidence.</w:t>
      </w:r>
    </w:p>
    <w:p>
      <w:pPr>
        <w:pStyle w:val="Heading2"/>
      </w:pPr>
      <w:r>
        <w:t>A.9 Communication and onboarding campaign ideas</w:t>
      </w:r>
    </w:p>
    <w:p>
      <w:pPr>
        <w:spacing w:after="120" w:line="276" w:lineRule="auto"/>
        <w:ind w:firstLine="317"/>
      </w:pPr>
      <w:r>
        <w:rPr>
          <w:rFonts w:ascii="Calibri" w:hAnsi="Calibri"/>
          <w:b w:val="0"/>
          <w:i w:val="0"/>
          <w:sz w:val="22"/>
        </w:rPr>
        <w:t>UniSkill approaches Communication and onboarding campaign ideas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communication and onboarding campaign ideas: the feature must remain understandable for a first-time student user.</w:t>
      </w:r>
    </w:p>
    <w:p>
      <w:pPr>
        <w:pStyle w:val="ListBullet"/>
        <w:spacing w:after="80"/>
      </w:pPr>
      <w:r>
        <w:rPr>
          <w:rFonts w:ascii="Calibri" w:hAnsi="Calibri"/>
          <w:b w:val="0"/>
          <w:i w:val="0"/>
          <w:sz w:val="20"/>
        </w:rPr>
        <w:t>Technical note for communication and onboarding campaign ideas: API, schema, and UI state should remain synchronized.</w:t>
      </w:r>
    </w:p>
    <w:p>
      <w:pPr>
        <w:pStyle w:val="ListBullet"/>
        <w:spacing w:after="80"/>
      </w:pPr>
      <w:r>
        <w:rPr>
          <w:rFonts w:ascii="Calibri" w:hAnsi="Calibri"/>
          <w:b w:val="0"/>
          <w:i w:val="0"/>
          <w:sz w:val="20"/>
        </w:rPr>
        <w:t>Quality note for communication and onboarding campaign ideas: failures should preserve traceability and user confidence.</w:t>
      </w:r>
    </w:p>
    <w:p>
      <w:pPr>
        <w:pStyle w:val="Heading2"/>
      </w:pPr>
      <w:r>
        <w:t>A.10 Rollout sequencing for campus launch</w:t>
      </w:r>
    </w:p>
    <w:p>
      <w:pPr>
        <w:spacing w:after="120" w:line="276" w:lineRule="auto"/>
        <w:ind w:firstLine="317"/>
      </w:pPr>
      <w:r>
        <w:rPr>
          <w:rFonts w:ascii="Calibri" w:hAnsi="Calibri"/>
          <w:b w:val="0"/>
          <w:i w:val="0"/>
          <w:sz w:val="22"/>
        </w:rPr>
        <w:t>UniSkill approaches Rollout sequencing for campus launch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rollout sequencing for campus launch: the feature must remain understandable for a first-time student user.</w:t>
      </w:r>
    </w:p>
    <w:p>
      <w:pPr>
        <w:pStyle w:val="ListBullet"/>
        <w:spacing w:after="80"/>
      </w:pPr>
      <w:r>
        <w:rPr>
          <w:rFonts w:ascii="Calibri" w:hAnsi="Calibri"/>
          <w:b w:val="0"/>
          <w:i w:val="0"/>
          <w:sz w:val="20"/>
        </w:rPr>
        <w:t>Technical note for rollout sequencing for campus launch: API, schema, and UI state should remain synchronized.</w:t>
      </w:r>
    </w:p>
    <w:p>
      <w:pPr>
        <w:pStyle w:val="ListBullet"/>
        <w:spacing w:after="80"/>
      </w:pPr>
      <w:r>
        <w:rPr>
          <w:rFonts w:ascii="Calibri" w:hAnsi="Calibri"/>
          <w:b w:val="0"/>
          <w:i w:val="0"/>
          <w:sz w:val="20"/>
        </w:rPr>
        <w:t>Quality note for rollout sequencing for campus launch: failures should preserve traceability and user confidence.</w:t>
      </w:r>
    </w:p>
    <w:p>
      <w:pPr>
        <w:pStyle w:val="Heading1"/>
      </w:pPr>
      <w:r>
        <w:t>Appendix B: Detailed Module Walkthroughs and Scenario Narratives</w:t>
      </w:r>
    </w:p>
    <w:p>
      <w:pPr>
        <w:pStyle w:val="Heading2"/>
      </w:pPr>
      <w:r>
        <w:t>B.1 Signup and identity capture scenario</w:t>
      </w:r>
    </w:p>
    <w:p>
      <w:pPr>
        <w:spacing w:after="120" w:line="276" w:lineRule="auto"/>
        <w:ind w:firstLine="317"/>
      </w:pPr>
      <w:r>
        <w:rPr>
          <w:rFonts w:ascii="Calibri" w:hAnsi="Calibri"/>
          <w:b w:val="0"/>
          <w:i w:val="0"/>
          <w:sz w:val="22"/>
        </w:rPr>
        <w:t>UniSkill approaches Signup and identity capture scenario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signup and identity capture scenario: the feature must remain understandable for a first-time student user.</w:t>
      </w:r>
    </w:p>
    <w:p>
      <w:pPr>
        <w:pStyle w:val="ListBullet"/>
        <w:spacing w:after="80"/>
      </w:pPr>
      <w:r>
        <w:rPr>
          <w:rFonts w:ascii="Calibri" w:hAnsi="Calibri"/>
          <w:b w:val="0"/>
          <w:i w:val="0"/>
          <w:sz w:val="20"/>
        </w:rPr>
        <w:t>Technical note for signup and identity capture scenario: API, schema, and UI state should remain synchronized.</w:t>
      </w:r>
    </w:p>
    <w:p>
      <w:pPr>
        <w:pStyle w:val="ListBullet"/>
        <w:spacing w:after="80"/>
      </w:pPr>
      <w:r>
        <w:rPr>
          <w:rFonts w:ascii="Calibri" w:hAnsi="Calibri"/>
          <w:b w:val="0"/>
          <w:i w:val="0"/>
          <w:sz w:val="20"/>
        </w:rPr>
        <w:t>Quality note for signup and identity capture scenario: failures should preserve traceability and user confidence.</w:t>
      </w:r>
    </w:p>
    <w:p>
      <w:pPr>
        <w:pStyle w:val="Heading2"/>
      </w:pPr>
      <w:r>
        <w:t>B.2 OTP verification scenario</w:t>
      </w:r>
    </w:p>
    <w:p>
      <w:pPr>
        <w:spacing w:after="120" w:line="276" w:lineRule="auto"/>
        <w:ind w:firstLine="317"/>
      </w:pPr>
      <w:r>
        <w:rPr>
          <w:rFonts w:ascii="Calibri" w:hAnsi="Calibri"/>
          <w:b w:val="0"/>
          <w:i w:val="0"/>
          <w:sz w:val="22"/>
        </w:rPr>
        <w:t>UniSkill approaches OTP verification scenario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otp verification scenario: the feature must remain understandable for a first-time student user.</w:t>
      </w:r>
    </w:p>
    <w:p>
      <w:pPr>
        <w:pStyle w:val="ListBullet"/>
        <w:spacing w:after="80"/>
      </w:pPr>
      <w:r>
        <w:rPr>
          <w:rFonts w:ascii="Calibri" w:hAnsi="Calibri"/>
          <w:b w:val="0"/>
          <w:i w:val="0"/>
          <w:sz w:val="20"/>
        </w:rPr>
        <w:t>Technical note for otp verification scenario: API, schema, and UI state should remain synchronized.</w:t>
      </w:r>
    </w:p>
    <w:p>
      <w:pPr>
        <w:pStyle w:val="ListBullet"/>
        <w:spacing w:after="80"/>
      </w:pPr>
      <w:r>
        <w:rPr>
          <w:rFonts w:ascii="Calibri" w:hAnsi="Calibri"/>
          <w:b w:val="0"/>
          <w:i w:val="0"/>
          <w:sz w:val="20"/>
        </w:rPr>
        <w:t>Quality note for otp verification scenario: failures should preserve traceability and user confidence.</w:t>
      </w:r>
    </w:p>
    <w:p>
      <w:pPr>
        <w:pStyle w:val="Heading2"/>
      </w:pPr>
      <w:r>
        <w:t>B.3 Profile completion and mentor activation</w:t>
      </w:r>
    </w:p>
    <w:p>
      <w:pPr>
        <w:spacing w:after="120" w:line="276" w:lineRule="auto"/>
        <w:ind w:firstLine="317"/>
      </w:pPr>
      <w:r>
        <w:rPr>
          <w:rFonts w:ascii="Calibri" w:hAnsi="Calibri"/>
          <w:b w:val="0"/>
          <w:i w:val="0"/>
          <w:sz w:val="22"/>
        </w:rPr>
        <w:t>UniSkill approaches Profile completion and mentor activation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profile completion and mentor activation: the feature must remain understandable for a first-time student user.</w:t>
      </w:r>
    </w:p>
    <w:p>
      <w:pPr>
        <w:pStyle w:val="ListBullet"/>
        <w:spacing w:after="80"/>
      </w:pPr>
      <w:r>
        <w:rPr>
          <w:rFonts w:ascii="Calibri" w:hAnsi="Calibri"/>
          <w:b w:val="0"/>
          <w:i w:val="0"/>
          <w:sz w:val="20"/>
        </w:rPr>
        <w:t>Technical note for profile completion and mentor activation: API, schema, and UI state should remain synchronized.</w:t>
      </w:r>
    </w:p>
    <w:p>
      <w:pPr>
        <w:pStyle w:val="ListBullet"/>
        <w:spacing w:after="80"/>
      </w:pPr>
      <w:r>
        <w:rPr>
          <w:rFonts w:ascii="Calibri" w:hAnsi="Calibri"/>
          <w:b w:val="0"/>
          <w:i w:val="0"/>
          <w:sz w:val="20"/>
        </w:rPr>
        <w:t>Quality note for profile completion and mentor activation: failures should preserve traceability and user confidence.</w:t>
      </w:r>
    </w:p>
    <w:p>
      <w:pPr>
        <w:pStyle w:val="Heading2"/>
      </w:pPr>
      <w:r>
        <w:t>B.4 Teaching-service publication lifecycle</w:t>
      </w:r>
    </w:p>
    <w:p>
      <w:pPr>
        <w:spacing w:after="120" w:line="276" w:lineRule="auto"/>
        <w:ind w:firstLine="317"/>
      </w:pPr>
      <w:r>
        <w:rPr>
          <w:rFonts w:ascii="Calibri" w:hAnsi="Calibri"/>
          <w:b w:val="0"/>
          <w:i w:val="0"/>
          <w:sz w:val="22"/>
        </w:rPr>
        <w:t>UniSkill approaches Teaching-service publication lifecycle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teaching-service publication lifecycle: the feature must remain understandable for a first-time student user.</w:t>
      </w:r>
    </w:p>
    <w:p>
      <w:pPr>
        <w:pStyle w:val="ListBullet"/>
        <w:spacing w:after="80"/>
      </w:pPr>
      <w:r>
        <w:rPr>
          <w:rFonts w:ascii="Calibri" w:hAnsi="Calibri"/>
          <w:b w:val="0"/>
          <w:i w:val="0"/>
          <w:sz w:val="20"/>
        </w:rPr>
        <w:t>Technical note for teaching-service publication lifecycle: API, schema, and UI state should remain synchronized.</w:t>
      </w:r>
    </w:p>
    <w:p>
      <w:pPr>
        <w:pStyle w:val="ListBullet"/>
        <w:spacing w:after="80"/>
      </w:pPr>
      <w:r>
        <w:rPr>
          <w:rFonts w:ascii="Calibri" w:hAnsi="Calibri"/>
          <w:b w:val="0"/>
          <w:i w:val="0"/>
          <w:sz w:val="20"/>
        </w:rPr>
        <w:t>Quality note for teaching-service publication lifecycle: failures should preserve traceability and user confidence.</w:t>
      </w:r>
    </w:p>
    <w:p>
      <w:pPr>
        <w:pStyle w:val="Heading2"/>
      </w:pPr>
      <w:r>
        <w:t>B.5 Mentor discovery and comparison</w:t>
      </w:r>
    </w:p>
    <w:p>
      <w:pPr>
        <w:spacing w:after="120" w:line="276" w:lineRule="auto"/>
        <w:ind w:firstLine="317"/>
      </w:pPr>
      <w:r>
        <w:rPr>
          <w:rFonts w:ascii="Calibri" w:hAnsi="Calibri"/>
          <w:b w:val="0"/>
          <w:i w:val="0"/>
          <w:sz w:val="22"/>
        </w:rPr>
        <w:t>UniSkill approaches Mentor discovery and comparison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mentor discovery and comparison: the feature must remain understandable for a first-time student user.</w:t>
      </w:r>
    </w:p>
    <w:p>
      <w:pPr>
        <w:pStyle w:val="ListBullet"/>
        <w:spacing w:after="80"/>
      </w:pPr>
      <w:r>
        <w:rPr>
          <w:rFonts w:ascii="Calibri" w:hAnsi="Calibri"/>
          <w:b w:val="0"/>
          <w:i w:val="0"/>
          <w:sz w:val="20"/>
        </w:rPr>
        <w:t>Technical note for mentor discovery and comparison: API, schema, and UI state should remain synchronized.</w:t>
      </w:r>
    </w:p>
    <w:p>
      <w:pPr>
        <w:pStyle w:val="ListBullet"/>
        <w:spacing w:after="80"/>
      </w:pPr>
      <w:r>
        <w:rPr>
          <w:rFonts w:ascii="Calibri" w:hAnsi="Calibri"/>
          <w:b w:val="0"/>
          <w:i w:val="0"/>
          <w:sz w:val="20"/>
        </w:rPr>
        <w:t>Quality note for mentor discovery and comparison: failures should preserve traceability and user confidence.</w:t>
      </w:r>
    </w:p>
    <w:p>
      <w:pPr>
        <w:pStyle w:val="Heading2"/>
      </w:pPr>
      <w:r>
        <w:t>B.6 Booking confirmation and room preparation</w:t>
      </w:r>
    </w:p>
    <w:p>
      <w:pPr>
        <w:spacing w:after="120" w:line="276" w:lineRule="auto"/>
        <w:ind w:firstLine="317"/>
      </w:pPr>
      <w:r>
        <w:rPr>
          <w:rFonts w:ascii="Calibri" w:hAnsi="Calibri"/>
          <w:b w:val="0"/>
          <w:i w:val="0"/>
          <w:sz w:val="22"/>
        </w:rPr>
        <w:t>UniSkill approaches Booking confirmation and room preparation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booking confirmation and room preparation: the feature must remain understandable for a first-time student user.</w:t>
      </w:r>
    </w:p>
    <w:p>
      <w:pPr>
        <w:pStyle w:val="ListBullet"/>
        <w:spacing w:after="80"/>
      </w:pPr>
      <w:r>
        <w:rPr>
          <w:rFonts w:ascii="Calibri" w:hAnsi="Calibri"/>
          <w:b w:val="0"/>
          <w:i w:val="0"/>
          <w:sz w:val="20"/>
        </w:rPr>
        <w:t>Technical note for booking confirmation and room preparation: API, schema, and UI state should remain synchronized.</w:t>
      </w:r>
    </w:p>
    <w:p>
      <w:pPr>
        <w:pStyle w:val="ListBullet"/>
        <w:spacing w:after="80"/>
      </w:pPr>
      <w:r>
        <w:rPr>
          <w:rFonts w:ascii="Calibri" w:hAnsi="Calibri"/>
          <w:b w:val="0"/>
          <w:i w:val="0"/>
          <w:sz w:val="20"/>
        </w:rPr>
        <w:t>Quality note for booking confirmation and room preparation: failures should preserve traceability and user confidence.</w:t>
      </w:r>
    </w:p>
    <w:p>
      <w:pPr>
        <w:pStyle w:val="Heading2"/>
      </w:pPr>
      <w:r>
        <w:t>B.7 Wallet top-up and transfer interpretation</w:t>
      </w:r>
    </w:p>
    <w:p>
      <w:pPr>
        <w:spacing w:after="120" w:line="276" w:lineRule="auto"/>
        <w:ind w:firstLine="317"/>
      </w:pPr>
      <w:r>
        <w:rPr>
          <w:rFonts w:ascii="Calibri" w:hAnsi="Calibri"/>
          <w:b w:val="0"/>
          <w:i w:val="0"/>
          <w:sz w:val="22"/>
        </w:rPr>
        <w:t>UniSkill approaches Wallet top-up and transfer interpretation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wallet top-up and transfer interpretation: the feature must remain understandable for a first-time student user.</w:t>
      </w:r>
    </w:p>
    <w:p>
      <w:pPr>
        <w:pStyle w:val="ListBullet"/>
        <w:spacing w:after="80"/>
      </w:pPr>
      <w:r>
        <w:rPr>
          <w:rFonts w:ascii="Calibri" w:hAnsi="Calibri"/>
          <w:b w:val="0"/>
          <w:i w:val="0"/>
          <w:sz w:val="20"/>
        </w:rPr>
        <w:t>Technical note for wallet top-up and transfer interpretation: API, schema, and UI state should remain synchronized.</w:t>
      </w:r>
    </w:p>
    <w:p>
      <w:pPr>
        <w:pStyle w:val="ListBullet"/>
        <w:spacing w:after="80"/>
      </w:pPr>
      <w:r>
        <w:rPr>
          <w:rFonts w:ascii="Calibri" w:hAnsi="Calibri"/>
          <w:b w:val="0"/>
          <w:i w:val="0"/>
          <w:sz w:val="20"/>
        </w:rPr>
        <w:t>Quality note for wallet top-up and transfer interpretation: failures should preserve traceability and user confidence.</w:t>
      </w:r>
    </w:p>
    <w:p>
      <w:pPr>
        <w:pStyle w:val="Heading2"/>
      </w:pPr>
      <w:r>
        <w:t>B.8 Realtime room participation flow</w:t>
      </w:r>
    </w:p>
    <w:p>
      <w:pPr>
        <w:spacing w:after="120" w:line="276" w:lineRule="auto"/>
        <w:ind w:firstLine="317"/>
      </w:pPr>
      <w:r>
        <w:rPr>
          <w:rFonts w:ascii="Calibri" w:hAnsi="Calibri"/>
          <w:b w:val="0"/>
          <w:i w:val="0"/>
          <w:sz w:val="22"/>
        </w:rPr>
        <w:t>UniSkill approaches Realtime room participation flow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realtime room participation flow: the feature must remain understandable for a first-time student user.</w:t>
      </w:r>
    </w:p>
    <w:p>
      <w:pPr>
        <w:pStyle w:val="ListBullet"/>
        <w:spacing w:after="80"/>
      </w:pPr>
      <w:r>
        <w:rPr>
          <w:rFonts w:ascii="Calibri" w:hAnsi="Calibri"/>
          <w:b w:val="0"/>
          <w:i w:val="0"/>
          <w:sz w:val="20"/>
        </w:rPr>
        <w:t>Technical note for realtime room participation flow: API, schema, and UI state should remain synchronized.</w:t>
      </w:r>
    </w:p>
    <w:p>
      <w:pPr>
        <w:pStyle w:val="ListBullet"/>
        <w:spacing w:after="80"/>
      </w:pPr>
      <w:r>
        <w:rPr>
          <w:rFonts w:ascii="Calibri" w:hAnsi="Calibri"/>
          <w:b w:val="0"/>
          <w:i w:val="0"/>
          <w:sz w:val="20"/>
        </w:rPr>
        <w:t>Quality note for realtime room participation flow: failures should preserve traceability and user confidence.</w:t>
      </w:r>
    </w:p>
    <w:p>
      <w:pPr>
        <w:pStyle w:val="Heading2"/>
      </w:pPr>
      <w:r>
        <w:t>B.9 Review and feedback closure</w:t>
      </w:r>
    </w:p>
    <w:p>
      <w:pPr>
        <w:spacing w:after="120" w:line="276" w:lineRule="auto"/>
        <w:ind w:firstLine="317"/>
      </w:pPr>
      <w:r>
        <w:rPr>
          <w:rFonts w:ascii="Calibri" w:hAnsi="Calibri"/>
          <w:b w:val="0"/>
          <w:i w:val="0"/>
          <w:sz w:val="22"/>
        </w:rPr>
        <w:t>UniSkill approaches Review and feedback closure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review and feedback closure: the feature must remain understandable for a first-time student user.</w:t>
      </w:r>
    </w:p>
    <w:p>
      <w:pPr>
        <w:pStyle w:val="ListBullet"/>
        <w:spacing w:after="80"/>
      </w:pPr>
      <w:r>
        <w:rPr>
          <w:rFonts w:ascii="Calibri" w:hAnsi="Calibri"/>
          <w:b w:val="0"/>
          <w:i w:val="0"/>
          <w:sz w:val="20"/>
        </w:rPr>
        <w:t>Technical note for review and feedback closure: API, schema, and UI state should remain synchronized.</w:t>
      </w:r>
    </w:p>
    <w:p>
      <w:pPr>
        <w:pStyle w:val="ListBullet"/>
        <w:spacing w:after="80"/>
      </w:pPr>
      <w:r>
        <w:rPr>
          <w:rFonts w:ascii="Calibri" w:hAnsi="Calibri"/>
          <w:b w:val="0"/>
          <w:i w:val="0"/>
          <w:sz w:val="20"/>
        </w:rPr>
        <w:t>Quality note for review and feedback closure: failures should preserve traceability and user confidence.</w:t>
      </w:r>
    </w:p>
    <w:p>
      <w:pPr>
        <w:pStyle w:val="Heading2"/>
      </w:pPr>
      <w:r>
        <w:t>B.10 Maintenance and future admin intervention points</w:t>
      </w:r>
    </w:p>
    <w:p>
      <w:pPr>
        <w:spacing w:after="120" w:line="276" w:lineRule="auto"/>
        <w:ind w:firstLine="317"/>
      </w:pPr>
      <w:r>
        <w:rPr>
          <w:rFonts w:ascii="Calibri" w:hAnsi="Calibri"/>
          <w:b w:val="0"/>
          <w:i w:val="0"/>
          <w:sz w:val="22"/>
        </w:rPr>
        <w:t>UniSkill approaches Maintenance and future admin intervention points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maintenance and future admin intervention points: the feature must remain understandable for a first-time student user.</w:t>
      </w:r>
    </w:p>
    <w:p>
      <w:pPr>
        <w:pStyle w:val="ListBullet"/>
        <w:spacing w:after="80"/>
      </w:pPr>
      <w:r>
        <w:rPr>
          <w:rFonts w:ascii="Calibri" w:hAnsi="Calibri"/>
          <w:b w:val="0"/>
          <w:i w:val="0"/>
          <w:sz w:val="20"/>
        </w:rPr>
        <w:t>Technical note for maintenance and future admin intervention points: API, schema, and UI state should remain synchronized.</w:t>
      </w:r>
    </w:p>
    <w:p>
      <w:pPr>
        <w:pStyle w:val="ListBullet"/>
        <w:spacing w:after="80"/>
      </w:pPr>
      <w:r>
        <w:rPr>
          <w:rFonts w:ascii="Calibri" w:hAnsi="Calibri"/>
          <w:b w:val="0"/>
          <w:i w:val="0"/>
          <w:sz w:val="20"/>
        </w:rPr>
        <w:t>Quality note for maintenance and future admin intervention points: failures should preserve traceability and user confidence.</w:t>
      </w:r>
    </w:p>
    <w:p>
      <w:pPr>
        <w:pStyle w:val="Heading1"/>
      </w:pPr>
      <w:r>
        <w:t>Appendix C: Implementation Timeline and Work Breakdown</w:t>
      </w:r>
    </w:p>
    <w:tbl>
      <w:tblPr>
        <w:tblStyle w:val="TableGrid"/>
        <w:tblW w:type="auto" w:w="0"/>
        <w:tblLook w:firstColumn="1" w:firstRow="1" w:lastColumn="0" w:lastRow="0" w:noHBand="0" w:noVBand="1" w:val="04A0"/>
      </w:tblPr>
      <w:tblGrid>
        <w:gridCol w:w="3312"/>
        <w:gridCol w:w="3312"/>
        <w:gridCol w:w="3312"/>
      </w:tblGrid>
      <w:tr>
        <w:tc>
          <w:tcPr>
            <w:tcW w:type="dxa" w:w="1440"/>
            <w:shd w:fill="DDEBF7"/>
          </w:tcPr>
          <w:p>
            <w:pPr>
              <w:jc w:val="left"/>
            </w:pPr>
            <w:r/>
            <w:r>
              <w:rPr>
                <w:rFonts w:ascii="Calibri" w:hAnsi="Calibri"/>
                <w:b/>
                <w:i w:val="0"/>
                <w:sz w:val="20"/>
              </w:rPr>
              <w:t>Phase</w:t>
            </w:r>
          </w:p>
        </w:tc>
        <w:tc>
          <w:tcPr>
            <w:tcW w:type="dxa" w:w="2304"/>
            <w:shd w:fill="DDEBF7"/>
          </w:tcPr>
          <w:p>
            <w:pPr>
              <w:jc w:val="left"/>
            </w:pPr>
            <w:r/>
            <w:r>
              <w:rPr>
                <w:rFonts w:ascii="Calibri" w:hAnsi="Calibri"/>
                <w:b/>
                <w:i w:val="0"/>
                <w:sz w:val="20"/>
              </w:rPr>
              <w:t>Focus</w:t>
            </w:r>
          </w:p>
        </w:tc>
        <w:tc>
          <w:tcPr>
            <w:tcW w:type="dxa" w:w="5760"/>
            <w:shd w:fill="DDEBF7"/>
          </w:tcPr>
          <w:p>
            <w:pPr>
              <w:jc w:val="left"/>
            </w:pPr>
            <w:r/>
            <w:r>
              <w:rPr>
                <w:rFonts w:ascii="Calibri" w:hAnsi="Calibri"/>
                <w:b/>
                <w:i w:val="0"/>
                <w:sz w:val="20"/>
              </w:rPr>
              <w:t>Representative outcomes</w:t>
            </w:r>
          </w:p>
        </w:tc>
      </w:tr>
      <w:tr>
        <w:tc>
          <w:tcPr>
            <w:tcW w:type="dxa" w:w="1440"/>
          </w:tcPr>
          <w:p>
            <w:pPr>
              <w:jc w:val="left"/>
            </w:pPr>
            <w:r/>
            <w:r>
              <w:rPr>
                <w:rFonts w:ascii="Calibri" w:hAnsi="Calibri"/>
                <w:b w:val="0"/>
                <w:i w:val="0"/>
                <w:sz w:val="18"/>
              </w:rPr>
              <w:t>Phase 1</w:t>
            </w:r>
          </w:p>
        </w:tc>
        <w:tc>
          <w:tcPr>
            <w:tcW w:type="dxa" w:w="2304"/>
          </w:tcPr>
          <w:p>
            <w:pPr>
              <w:jc w:val="left"/>
            </w:pPr>
            <w:r/>
            <w:r>
              <w:rPr>
                <w:rFonts w:ascii="Calibri" w:hAnsi="Calibri"/>
                <w:b w:val="0"/>
                <w:i w:val="0"/>
                <w:sz w:val="18"/>
              </w:rPr>
              <w:t>Foundation</w:t>
            </w:r>
          </w:p>
        </w:tc>
        <w:tc>
          <w:tcPr>
            <w:tcW w:type="dxa" w:w="5760"/>
          </w:tcPr>
          <w:p>
            <w:pPr>
              <w:jc w:val="left"/>
            </w:pPr>
            <w:r/>
            <w:r>
              <w:rPr>
                <w:rFonts w:ascii="Calibri" w:hAnsi="Calibri"/>
                <w:b w:val="0"/>
                <w:i w:val="0"/>
                <w:sz w:val="18"/>
              </w:rPr>
              <w:t>Project setup, auth integration, schema baseline, landing experience</w:t>
            </w:r>
          </w:p>
        </w:tc>
      </w:tr>
      <w:tr>
        <w:tc>
          <w:tcPr>
            <w:tcW w:type="dxa" w:w="1440"/>
          </w:tcPr>
          <w:p>
            <w:pPr>
              <w:jc w:val="left"/>
            </w:pPr>
            <w:r/>
            <w:r>
              <w:rPr>
                <w:rFonts w:ascii="Calibri" w:hAnsi="Calibri"/>
                <w:b w:val="0"/>
                <w:i w:val="0"/>
                <w:sz w:val="18"/>
              </w:rPr>
              <w:t>Phase 2</w:t>
            </w:r>
          </w:p>
        </w:tc>
        <w:tc>
          <w:tcPr>
            <w:tcW w:type="dxa" w:w="2304"/>
          </w:tcPr>
          <w:p>
            <w:pPr>
              <w:jc w:val="left"/>
            </w:pPr>
            <w:r/>
            <w:r>
              <w:rPr>
                <w:rFonts w:ascii="Calibri" w:hAnsi="Calibri"/>
                <w:b w:val="0"/>
                <w:i w:val="0"/>
                <w:sz w:val="18"/>
              </w:rPr>
              <w:t>Identity and profile</w:t>
            </w:r>
          </w:p>
        </w:tc>
        <w:tc>
          <w:tcPr>
            <w:tcW w:type="dxa" w:w="5760"/>
          </w:tcPr>
          <w:p>
            <w:pPr>
              <w:jc w:val="left"/>
            </w:pPr>
            <w:r/>
            <w:r>
              <w:rPr>
                <w:rFonts w:ascii="Calibri" w:hAnsi="Calibri"/>
                <w:b w:val="0"/>
                <w:i w:val="0"/>
                <w:sz w:val="18"/>
              </w:rPr>
              <w:t>OTP routes, profile state, compatibility mapping, vault design</w:t>
            </w:r>
          </w:p>
        </w:tc>
      </w:tr>
      <w:tr>
        <w:tc>
          <w:tcPr>
            <w:tcW w:type="dxa" w:w="1440"/>
          </w:tcPr>
          <w:p>
            <w:pPr>
              <w:jc w:val="left"/>
            </w:pPr>
            <w:r/>
            <w:r>
              <w:rPr>
                <w:rFonts w:ascii="Calibri" w:hAnsi="Calibri"/>
                <w:b w:val="0"/>
                <w:i w:val="0"/>
                <w:sz w:val="18"/>
              </w:rPr>
              <w:t>Phase 3</w:t>
            </w:r>
          </w:p>
        </w:tc>
        <w:tc>
          <w:tcPr>
            <w:tcW w:type="dxa" w:w="2304"/>
          </w:tcPr>
          <w:p>
            <w:pPr>
              <w:jc w:val="left"/>
            </w:pPr>
            <w:r/>
            <w:r>
              <w:rPr>
                <w:rFonts w:ascii="Calibri" w:hAnsi="Calibri"/>
                <w:b w:val="0"/>
                <w:i w:val="0"/>
                <w:sz w:val="18"/>
              </w:rPr>
              <w:t>Marketplace</w:t>
            </w:r>
          </w:p>
        </w:tc>
        <w:tc>
          <w:tcPr>
            <w:tcW w:type="dxa" w:w="5760"/>
          </w:tcPr>
          <w:p>
            <w:pPr>
              <w:jc w:val="left"/>
            </w:pPr>
            <w:r/>
            <w:r>
              <w:rPr>
                <w:rFonts w:ascii="Calibri" w:hAnsi="Calibri"/>
                <w:b w:val="0"/>
                <w:i w:val="0"/>
                <w:sz w:val="18"/>
              </w:rPr>
              <w:t>Explore flow, teaching services, mentor metadata, skill match logic</w:t>
            </w:r>
          </w:p>
        </w:tc>
      </w:tr>
      <w:tr>
        <w:tc>
          <w:tcPr>
            <w:tcW w:type="dxa" w:w="1440"/>
          </w:tcPr>
          <w:p>
            <w:pPr>
              <w:jc w:val="left"/>
            </w:pPr>
            <w:r/>
            <w:r>
              <w:rPr>
                <w:rFonts w:ascii="Calibri" w:hAnsi="Calibri"/>
                <w:b w:val="0"/>
                <w:i w:val="0"/>
                <w:sz w:val="18"/>
              </w:rPr>
              <w:t>Phase 4</w:t>
            </w:r>
          </w:p>
        </w:tc>
        <w:tc>
          <w:tcPr>
            <w:tcW w:type="dxa" w:w="2304"/>
          </w:tcPr>
          <w:p>
            <w:pPr>
              <w:jc w:val="left"/>
            </w:pPr>
            <w:r/>
            <w:r>
              <w:rPr>
                <w:rFonts w:ascii="Calibri" w:hAnsi="Calibri"/>
                <w:b w:val="0"/>
                <w:i w:val="0"/>
                <w:sz w:val="18"/>
              </w:rPr>
              <w:t>Exchange loop</w:t>
            </w:r>
          </w:p>
        </w:tc>
        <w:tc>
          <w:tcPr>
            <w:tcW w:type="dxa" w:w="5760"/>
          </w:tcPr>
          <w:p>
            <w:pPr>
              <w:jc w:val="left"/>
            </w:pPr>
            <w:r/>
            <w:r>
              <w:rPr>
                <w:rFonts w:ascii="Calibri" w:hAnsi="Calibri"/>
                <w:b w:val="0"/>
                <w:i w:val="0"/>
                <w:sz w:val="18"/>
              </w:rPr>
              <w:t>Session creation, room identifiers, wallet routes, transactions</w:t>
            </w:r>
          </w:p>
        </w:tc>
      </w:tr>
      <w:tr>
        <w:tc>
          <w:tcPr>
            <w:tcW w:type="dxa" w:w="1440"/>
          </w:tcPr>
          <w:p>
            <w:pPr>
              <w:jc w:val="left"/>
            </w:pPr>
            <w:r/>
            <w:r>
              <w:rPr>
                <w:rFonts w:ascii="Calibri" w:hAnsi="Calibri"/>
                <w:b w:val="0"/>
                <w:i w:val="0"/>
                <w:sz w:val="18"/>
              </w:rPr>
              <w:t>Phase 5</w:t>
            </w:r>
          </w:p>
        </w:tc>
        <w:tc>
          <w:tcPr>
            <w:tcW w:type="dxa" w:w="2304"/>
          </w:tcPr>
          <w:p>
            <w:pPr>
              <w:jc w:val="left"/>
            </w:pPr>
            <w:r/>
            <w:r>
              <w:rPr>
                <w:rFonts w:ascii="Calibri" w:hAnsi="Calibri"/>
                <w:b w:val="0"/>
                <w:i w:val="0"/>
                <w:sz w:val="18"/>
              </w:rPr>
              <w:t>Realtime and polish</w:t>
            </w:r>
          </w:p>
        </w:tc>
        <w:tc>
          <w:tcPr>
            <w:tcW w:type="dxa" w:w="5760"/>
          </w:tcPr>
          <w:p>
            <w:pPr>
              <w:jc w:val="left"/>
            </w:pPr>
            <w:r/>
            <w:r>
              <w:rPr>
                <w:rFonts w:ascii="Calibri" w:hAnsi="Calibri"/>
                <w:b w:val="0"/>
                <w:i w:val="0"/>
                <w:sz w:val="18"/>
              </w:rPr>
              <w:t>Socket signaling, dashboard views, charts, profile refinement</w:t>
            </w:r>
          </w:p>
        </w:tc>
      </w:tr>
      <w:tr>
        <w:tc>
          <w:tcPr>
            <w:tcW w:type="dxa" w:w="1440"/>
          </w:tcPr>
          <w:p>
            <w:pPr>
              <w:jc w:val="left"/>
            </w:pPr>
            <w:r/>
            <w:r>
              <w:rPr>
                <w:rFonts w:ascii="Calibri" w:hAnsi="Calibri"/>
                <w:b w:val="0"/>
                <w:i w:val="0"/>
                <w:sz w:val="18"/>
              </w:rPr>
              <w:t>Phase 6</w:t>
            </w:r>
          </w:p>
        </w:tc>
        <w:tc>
          <w:tcPr>
            <w:tcW w:type="dxa" w:w="2304"/>
          </w:tcPr>
          <w:p>
            <w:pPr>
              <w:jc w:val="left"/>
            </w:pPr>
            <w:r/>
            <w:r>
              <w:rPr>
                <w:rFonts w:ascii="Calibri" w:hAnsi="Calibri"/>
                <w:b w:val="0"/>
                <w:i w:val="0"/>
                <w:sz w:val="18"/>
              </w:rPr>
              <w:t>Hardening</w:t>
            </w:r>
          </w:p>
        </w:tc>
        <w:tc>
          <w:tcPr>
            <w:tcW w:type="dxa" w:w="5760"/>
          </w:tcPr>
          <w:p>
            <w:pPr>
              <w:jc w:val="left"/>
            </w:pPr>
            <w:r/>
            <w:r>
              <w:rPr>
                <w:rFonts w:ascii="Calibri" w:hAnsi="Calibri"/>
                <w:b w:val="0"/>
                <w:i w:val="0"/>
                <w:sz w:val="18"/>
              </w:rPr>
              <w:t>RLS, audit triggers, migration reconciliation, QA and documentation</w:t>
            </w:r>
          </w:p>
        </w:tc>
      </w:tr>
    </w:tbl>
    <w:p/>
    <w:p>
      <w:pPr>
        <w:pStyle w:val="Heading1"/>
      </w:pPr>
      <w:r>
        <w:t>Appendix D: Testing Scenarios and Expected Observations</w:t>
      </w:r>
    </w:p>
    <w:p>
      <w:pPr>
        <w:pStyle w:val="Heading2"/>
      </w:pPr>
      <w:r>
        <w:t>D.1 Happy-path registration</w:t>
      </w:r>
    </w:p>
    <w:p>
      <w:pPr>
        <w:spacing w:after="120" w:line="276" w:lineRule="auto"/>
        <w:ind w:firstLine="317"/>
      </w:pPr>
      <w:r>
        <w:rPr>
          <w:rFonts w:ascii="Calibri" w:hAnsi="Calibri"/>
          <w:b w:val="0"/>
          <w:i w:val="0"/>
          <w:sz w:val="22"/>
        </w:rPr>
        <w:t>UniSkill approaches Happy-path registration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happy-path registration: the feature must remain understandable for a first-time student user.</w:t>
      </w:r>
    </w:p>
    <w:p>
      <w:pPr>
        <w:pStyle w:val="ListBullet"/>
        <w:spacing w:after="80"/>
      </w:pPr>
      <w:r>
        <w:rPr>
          <w:rFonts w:ascii="Calibri" w:hAnsi="Calibri"/>
          <w:b w:val="0"/>
          <w:i w:val="0"/>
          <w:sz w:val="20"/>
        </w:rPr>
        <w:t>Technical note for happy-path registration: API, schema, and UI state should remain synchronized.</w:t>
      </w:r>
    </w:p>
    <w:p>
      <w:pPr>
        <w:pStyle w:val="ListBullet"/>
        <w:spacing w:after="80"/>
      </w:pPr>
      <w:r>
        <w:rPr>
          <w:rFonts w:ascii="Calibri" w:hAnsi="Calibri"/>
          <w:b w:val="0"/>
          <w:i w:val="0"/>
          <w:sz w:val="20"/>
        </w:rPr>
        <w:t>Quality note for happy-path registration: failures should preserve traceability and user confidence.</w:t>
      </w:r>
    </w:p>
    <w:p>
      <w:pPr>
        <w:pStyle w:val="Heading2"/>
      </w:pPr>
      <w:r>
        <w:t>D.2 Duplicate profile handling</w:t>
      </w:r>
    </w:p>
    <w:p>
      <w:pPr>
        <w:spacing w:after="120" w:line="276" w:lineRule="auto"/>
        <w:ind w:firstLine="317"/>
      </w:pPr>
      <w:r>
        <w:rPr>
          <w:rFonts w:ascii="Calibri" w:hAnsi="Calibri"/>
          <w:b w:val="0"/>
          <w:i w:val="0"/>
          <w:sz w:val="22"/>
        </w:rPr>
        <w:t>UniSkill approaches Duplicate profile handling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duplicate profile handling: the feature must remain understandable for a first-time student user.</w:t>
      </w:r>
    </w:p>
    <w:p>
      <w:pPr>
        <w:pStyle w:val="ListBullet"/>
        <w:spacing w:after="80"/>
      </w:pPr>
      <w:r>
        <w:rPr>
          <w:rFonts w:ascii="Calibri" w:hAnsi="Calibri"/>
          <w:b w:val="0"/>
          <w:i w:val="0"/>
          <w:sz w:val="20"/>
        </w:rPr>
        <w:t>Technical note for duplicate profile handling: API, schema, and UI state should remain synchronized.</w:t>
      </w:r>
    </w:p>
    <w:p>
      <w:pPr>
        <w:pStyle w:val="ListBullet"/>
        <w:spacing w:after="80"/>
      </w:pPr>
      <w:r>
        <w:rPr>
          <w:rFonts w:ascii="Calibri" w:hAnsi="Calibri"/>
          <w:b w:val="0"/>
          <w:i w:val="0"/>
          <w:sz w:val="20"/>
        </w:rPr>
        <w:t>Quality note for duplicate profile handling: failures should preserve traceability and user confidence.</w:t>
      </w:r>
    </w:p>
    <w:p>
      <w:pPr>
        <w:pStyle w:val="Heading2"/>
      </w:pPr>
      <w:r>
        <w:t>D.3 Admin-key fallback behavior</w:t>
      </w:r>
    </w:p>
    <w:p>
      <w:pPr>
        <w:spacing w:after="120" w:line="276" w:lineRule="auto"/>
        <w:ind w:firstLine="317"/>
      </w:pPr>
      <w:r>
        <w:rPr>
          <w:rFonts w:ascii="Calibri" w:hAnsi="Calibri"/>
          <w:b w:val="0"/>
          <w:i w:val="0"/>
          <w:sz w:val="22"/>
        </w:rPr>
        <w:t>UniSkill approaches Admin-key fallback behavior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admin-key fallback behavior: the feature must remain understandable for a first-time student user.</w:t>
      </w:r>
    </w:p>
    <w:p>
      <w:pPr>
        <w:pStyle w:val="ListBullet"/>
        <w:spacing w:after="80"/>
      </w:pPr>
      <w:r>
        <w:rPr>
          <w:rFonts w:ascii="Calibri" w:hAnsi="Calibri"/>
          <w:b w:val="0"/>
          <w:i w:val="0"/>
          <w:sz w:val="20"/>
        </w:rPr>
        <w:t>Technical note for admin-key fallback behavior: API, schema, and UI state should remain synchronized.</w:t>
      </w:r>
    </w:p>
    <w:p>
      <w:pPr>
        <w:pStyle w:val="ListBullet"/>
        <w:spacing w:after="80"/>
      </w:pPr>
      <w:r>
        <w:rPr>
          <w:rFonts w:ascii="Calibri" w:hAnsi="Calibri"/>
          <w:b w:val="0"/>
          <w:i w:val="0"/>
          <w:sz w:val="20"/>
        </w:rPr>
        <w:t>Quality note for admin-key fallback behavior: failures should preserve traceability and user confidence.</w:t>
      </w:r>
    </w:p>
    <w:p>
      <w:pPr>
        <w:pStyle w:val="Heading2"/>
      </w:pPr>
      <w:r>
        <w:t>D.4 Wallet insufficient-balance flow</w:t>
      </w:r>
    </w:p>
    <w:p>
      <w:pPr>
        <w:spacing w:after="120" w:line="276" w:lineRule="auto"/>
        <w:ind w:firstLine="317"/>
      </w:pPr>
      <w:r>
        <w:rPr>
          <w:rFonts w:ascii="Calibri" w:hAnsi="Calibri"/>
          <w:b w:val="0"/>
          <w:i w:val="0"/>
          <w:sz w:val="22"/>
        </w:rPr>
        <w:t>UniSkill approaches Wallet insufficient-balance flow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wallet insufficient-balance flow: the feature must remain understandable for a first-time student user.</w:t>
      </w:r>
    </w:p>
    <w:p>
      <w:pPr>
        <w:pStyle w:val="ListBullet"/>
        <w:spacing w:after="80"/>
      </w:pPr>
      <w:r>
        <w:rPr>
          <w:rFonts w:ascii="Calibri" w:hAnsi="Calibri"/>
          <w:b w:val="0"/>
          <w:i w:val="0"/>
          <w:sz w:val="20"/>
        </w:rPr>
        <w:t>Technical note for wallet insufficient-balance flow: API, schema, and UI state should remain synchronized.</w:t>
      </w:r>
    </w:p>
    <w:p>
      <w:pPr>
        <w:pStyle w:val="ListBullet"/>
        <w:spacing w:after="80"/>
      </w:pPr>
      <w:r>
        <w:rPr>
          <w:rFonts w:ascii="Calibri" w:hAnsi="Calibri"/>
          <w:b w:val="0"/>
          <w:i w:val="0"/>
          <w:sz w:val="20"/>
        </w:rPr>
        <w:t>Quality note for wallet insufficient-balance flow: failures should preserve traceability and user confidence.</w:t>
      </w:r>
    </w:p>
    <w:p>
      <w:pPr>
        <w:pStyle w:val="Heading2"/>
      </w:pPr>
      <w:r>
        <w:t>D.5 Mentor listing ownership checks</w:t>
      </w:r>
    </w:p>
    <w:p>
      <w:pPr>
        <w:spacing w:after="120" w:line="276" w:lineRule="auto"/>
        <w:ind w:firstLine="317"/>
      </w:pPr>
      <w:r>
        <w:rPr>
          <w:rFonts w:ascii="Calibri" w:hAnsi="Calibri"/>
          <w:b w:val="0"/>
          <w:i w:val="0"/>
          <w:sz w:val="22"/>
        </w:rPr>
        <w:t>UniSkill approaches Mentor listing ownership checks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mentor listing ownership checks: the feature must remain understandable for a first-time student user.</w:t>
      </w:r>
    </w:p>
    <w:p>
      <w:pPr>
        <w:pStyle w:val="ListBullet"/>
        <w:spacing w:after="80"/>
      </w:pPr>
      <w:r>
        <w:rPr>
          <w:rFonts w:ascii="Calibri" w:hAnsi="Calibri"/>
          <w:b w:val="0"/>
          <w:i w:val="0"/>
          <w:sz w:val="20"/>
        </w:rPr>
        <w:t>Technical note for mentor listing ownership checks: API, schema, and UI state should remain synchronized.</w:t>
      </w:r>
    </w:p>
    <w:p>
      <w:pPr>
        <w:pStyle w:val="ListBullet"/>
        <w:spacing w:after="80"/>
      </w:pPr>
      <w:r>
        <w:rPr>
          <w:rFonts w:ascii="Calibri" w:hAnsi="Calibri"/>
          <w:b w:val="0"/>
          <w:i w:val="0"/>
          <w:sz w:val="20"/>
        </w:rPr>
        <w:t>Quality note for mentor listing ownership checks: failures should preserve traceability and user confidence.</w:t>
      </w:r>
    </w:p>
    <w:p>
      <w:pPr>
        <w:pStyle w:val="Heading2"/>
      </w:pPr>
      <w:r>
        <w:t>D.6 Session-room creation verification</w:t>
      </w:r>
    </w:p>
    <w:p>
      <w:pPr>
        <w:spacing w:after="120" w:line="276" w:lineRule="auto"/>
        <w:ind w:firstLine="317"/>
      </w:pPr>
      <w:r>
        <w:rPr>
          <w:rFonts w:ascii="Calibri" w:hAnsi="Calibri"/>
          <w:b w:val="0"/>
          <w:i w:val="0"/>
          <w:sz w:val="22"/>
        </w:rPr>
        <w:t>UniSkill approaches Session-room creation verification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session-room creation verification: the feature must remain understandable for a first-time student user.</w:t>
      </w:r>
    </w:p>
    <w:p>
      <w:pPr>
        <w:pStyle w:val="ListBullet"/>
        <w:spacing w:after="80"/>
      </w:pPr>
      <w:r>
        <w:rPr>
          <w:rFonts w:ascii="Calibri" w:hAnsi="Calibri"/>
          <w:b w:val="0"/>
          <w:i w:val="0"/>
          <w:sz w:val="20"/>
        </w:rPr>
        <w:t>Technical note for session-room creation verification: API, schema, and UI state should remain synchronized.</w:t>
      </w:r>
    </w:p>
    <w:p>
      <w:pPr>
        <w:pStyle w:val="ListBullet"/>
        <w:spacing w:after="80"/>
      </w:pPr>
      <w:r>
        <w:rPr>
          <w:rFonts w:ascii="Calibri" w:hAnsi="Calibri"/>
          <w:b w:val="0"/>
          <w:i w:val="0"/>
          <w:sz w:val="20"/>
        </w:rPr>
        <w:t>Quality note for session-room creation verification: failures should preserve traceability and user confidence.</w:t>
      </w:r>
    </w:p>
    <w:p>
      <w:pPr>
        <w:pStyle w:val="Heading2"/>
      </w:pPr>
      <w:r>
        <w:t>D.7 RLS privacy boundary validation</w:t>
      </w:r>
    </w:p>
    <w:p>
      <w:pPr>
        <w:spacing w:after="120" w:line="276" w:lineRule="auto"/>
        <w:ind w:firstLine="317"/>
      </w:pPr>
      <w:r>
        <w:rPr>
          <w:rFonts w:ascii="Calibri" w:hAnsi="Calibri"/>
          <w:b w:val="0"/>
          <w:i w:val="0"/>
          <w:sz w:val="22"/>
        </w:rPr>
        <w:t>UniSkill approaches RLS privacy boundary validation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rls privacy boundary validation: the feature must remain understandable for a first-time student user.</w:t>
      </w:r>
    </w:p>
    <w:p>
      <w:pPr>
        <w:pStyle w:val="ListBullet"/>
        <w:spacing w:after="80"/>
      </w:pPr>
      <w:r>
        <w:rPr>
          <w:rFonts w:ascii="Calibri" w:hAnsi="Calibri"/>
          <w:b w:val="0"/>
          <w:i w:val="0"/>
          <w:sz w:val="20"/>
        </w:rPr>
        <w:t>Technical note for rls privacy boundary validation: API, schema, and UI state should remain synchronized.</w:t>
      </w:r>
    </w:p>
    <w:p>
      <w:pPr>
        <w:pStyle w:val="ListBullet"/>
        <w:spacing w:after="80"/>
      </w:pPr>
      <w:r>
        <w:rPr>
          <w:rFonts w:ascii="Calibri" w:hAnsi="Calibri"/>
          <w:b w:val="0"/>
          <w:i w:val="0"/>
          <w:sz w:val="20"/>
        </w:rPr>
        <w:t>Quality note for rls privacy boundary validation: failures should preserve traceability and user confidence.</w:t>
      </w:r>
    </w:p>
    <w:p>
      <w:pPr>
        <w:pStyle w:val="Heading2"/>
      </w:pPr>
      <w:r>
        <w:t>D.8 Realtime disconnect recovery</w:t>
      </w:r>
    </w:p>
    <w:p>
      <w:pPr>
        <w:spacing w:after="120" w:line="276" w:lineRule="auto"/>
        <w:ind w:firstLine="317"/>
      </w:pPr>
      <w:r>
        <w:rPr>
          <w:rFonts w:ascii="Calibri" w:hAnsi="Calibri"/>
          <w:b w:val="0"/>
          <w:i w:val="0"/>
          <w:sz w:val="22"/>
        </w:rPr>
        <w:t>UniSkill approaches Realtime disconnect recovery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realtime disconnect recovery: the feature must remain understandable for a first-time student user.</w:t>
      </w:r>
    </w:p>
    <w:p>
      <w:pPr>
        <w:pStyle w:val="ListBullet"/>
        <w:spacing w:after="80"/>
      </w:pPr>
      <w:r>
        <w:rPr>
          <w:rFonts w:ascii="Calibri" w:hAnsi="Calibri"/>
          <w:b w:val="0"/>
          <w:i w:val="0"/>
          <w:sz w:val="20"/>
        </w:rPr>
        <w:t>Technical note for realtime disconnect recovery: API, schema, and UI state should remain synchronized.</w:t>
      </w:r>
    </w:p>
    <w:p>
      <w:pPr>
        <w:pStyle w:val="ListBullet"/>
        <w:spacing w:after="80"/>
      </w:pPr>
      <w:r>
        <w:rPr>
          <w:rFonts w:ascii="Calibri" w:hAnsi="Calibri"/>
          <w:b w:val="0"/>
          <w:i w:val="0"/>
          <w:sz w:val="20"/>
        </w:rPr>
        <w:t>Quality note for realtime disconnect recovery: failures should preserve traceability and user confidence.</w:t>
      </w:r>
    </w:p>
    <w:p>
      <w:pPr>
        <w:pStyle w:val="Heading2"/>
      </w:pPr>
      <w:r>
        <w:t>D.9 Cross-origin configuration checks</w:t>
      </w:r>
    </w:p>
    <w:p>
      <w:pPr>
        <w:spacing w:after="120" w:line="276" w:lineRule="auto"/>
        <w:ind w:firstLine="317"/>
      </w:pPr>
      <w:r>
        <w:rPr>
          <w:rFonts w:ascii="Calibri" w:hAnsi="Calibri"/>
          <w:b w:val="0"/>
          <w:i w:val="0"/>
          <w:sz w:val="22"/>
        </w:rPr>
        <w:t>UniSkill approaches Cross-origin configuration checks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cross-origin configuration checks: the feature must remain understandable for a first-time student user.</w:t>
      </w:r>
    </w:p>
    <w:p>
      <w:pPr>
        <w:pStyle w:val="ListBullet"/>
        <w:spacing w:after="80"/>
      </w:pPr>
      <w:r>
        <w:rPr>
          <w:rFonts w:ascii="Calibri" w:hAnsi="Calibri"/>
          <w:b w:val="0"/>
          <w:i w:val="0"/>
          <w:sz w:val="20"/>
        </w:rPr>
        <w:t>Technical note for cross-origin configuration checks: API, schema, and UI state should remain synchronized.</w:t>
      </w:r>
    </w:p>
    <w:p>
      <w:pPr>
        <w:pStyle w:val="ListBullet"/>
        <w:spacing w:after="80"/>
      </w:pPr>
      <w:r>
        <w:rPr>
          <w:rFonts w:ascii="Calibri" w:hAnsi="Calibri"/>
          <w:b w:val="0"/>
          <w:i w:val="0"/>
          <w:sz w:val="20"/>
        </w:rPr>
        <w:t>Quality note for cross-origin configuration checks: failures should preserve traceability and user confidence.</w:t>
      </w:r>
    </w:p>
    <w:p>
      <w:pPr>
        <w:pStyle w:val="Heading2"/>
      </w:pPr>
      <w:r>
        <w:t>D.10 Post-deployment monitoring expectations</w:t>
      </w:r>
    </w:p>
    <w:p>
      <w:pPr>
        <w:spacing w:after="120" w:line="276" w:lineRule="auto"/>
        <w:ind w:firstLine="317"/>
      </w:pPr>
      <w:r>
        <w:rPr>
          <w:rFonts w:ascii="Calibri" w:hAnsi="Calibri"/>
          <w:b w:val="0"/>
          <w:i w:val="0"/>
          <w:sz w:val="22"/>
        </w:rPr>
        <w:t>UniSkill approaches Post-deployment monitoring expectations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pStyle w:val="ListBullet"/>
        <w:spacing w:after="80"/>
      </w:pPr>
      <w:r>
        <w:rPr>
          <w:rFonts w:ascii="Calibri" w:hAnsi="Calibri"/>
          <w:b w:val="0"/>
          <w:i w:val="0"/>
          <w:sz w:val="20"/>
        </w:rPr>
        <w:t>Design note for post-deployment monitoring expectations: the feature must remain understandable for a first-time student user.</w:t>
      </w:r>
    </w:p>
    <w:p>
      <w:pPr>
        <w:pStyle w:val="ListBullet"/>
        <w:spacing w:after="80"/>
      </w:pPr>
      <w:r>
        <w:rPr>
          <w:rFonts w:ascii="Calibri" w:hAnsi="Calibri"/>
          <w:b w:val="0"/>
          <w:i w:val="0"/>
          <w:sz w:val="20"/>
        </w:rPr>
        <w:t>Technical note for post-deployment monitoring expectations: API, schema, and UI state should remain synchronized.</w:t>
      </w:r>
    </w:p>
    <w:p>
      <w:pPr>
        <w:pStyle w:val="ListBullet"/>
        <w:spacing w:after="80"/>
      </w:pPr>
      <w:r>
        <w:rPr>
          <w:rFonts w:ascii="Calibri" w:hAnsi="Calibri"/>
          <w:b w:val="0"/>
          <w:i w:val="0"/>
          <w:sz w:val="20"/>
        </w:rPr>
        <w:t>Quality note for post-deployment monitoring expectations: failures should preserve traceability and user confidence.</w:t>
      </w:r>
    </w:p>
    <w:p>
      <w:r>
        <w:br w:type="page"/>
      </w:r>
    </w:p>
    <w:p>
      <w:pPr>
        <w:pStyle w:val="Heading1"/>
      </w:pPr>
      <w:r>
        <w:t>Appendix C: Demo Flow and Evaluation Readiness</w:t>
      </w:r>
    </w:p>
    <w:p>
      <w:r>
        <w:t>This appendix summarizes how the UniSkill project can be demonstrated in an academic review setting. The goal is to show that the product is not only conceptually designed, but also organized around a believable end-to-end student workflow.</w:t>
      </w:r>
    </w:p>
    <w:p>
      <w:pPr>
        <w:pStyle w:val="Heading2"/>
      </w:pPr>
      <w:r>
        <w:t>C.1 Recommended live demonstration flow</w:t>
      </w:r>
    </w:p>
    <w:p>
      <w:r>
        <w:t>Begin with the landing experience and explain the campus-first value proposition of UniSkill: verified students exchanging skills, mentoring, and guided sessions inside one controlled platform.</w:t>
      </w:r>
    </w:p>
    <w:p>
      <w:r>
        <w:t>Show student signup, OTP verification, and profile creation. This step establishes the trust model and explains why identity verification is central to the project.</w:t>
      </w:r>
    </w:p>
    <w:p>
      <w:r>
        <w:t>Move into marketplace discovery where a learner filters profiles, inspects mentor offerings, and selects a relevant service. This proves that the project solves the discovery problem defined earlier in the synopsis.</w:t>
      </w:r>
    </w:p>
    <w:p>
      <w:r>
        <w:t>Demonstrate booking confirmation, wallet interaction, and session lifecycle state changes so evaluators can see how value exchange and accountability are tied together.</w:t>
      </w:r>
    </w:p>
    <w:p>
      <w:r>
        <w:t>Finish with room participation, feedback submission, and notification behavior to show that UniSkill supports the complete mentoring loop rather than stopping at simple profile browsing.</w:t>
      </w:r>
    </w:p>
    <w:p>
      <w:pPr>
        <w:pStyle w:val="Heading2"/>
      </w:pPr>
      <w:r>
        <w:t>C.2 Evaluation checklist for synopsis presentation</w:t>
      </w:r>
    </w:p>
    <w:p>
      <w:r>
        <w:t>Faculty review of the synopsis usually depends on whether the team can connect the problem statement, objectives, architecture, modules, and expected outcomes into one coherent explanation. The following compact matrix helps structure that discussion.</w:t>
      </w:r>
    </w:p>
    <w:tbl>
      <w:tblPr>
        <w:tblStyle w:val="TableGrid"/>
        <w:tblW w:type="auto" w:w="0"/>
        <w:tblLook w:firstColumn="1" w:firstRow="1" w:lastColumn="0" w:lastRow="0" w:noHBand="0" w:noVBand="1" w:val="04A0"/>
      </w:tblPr>
      <w:tblGrid>
        <w:gridCol w:w="3312"/>
        <w:gridCol w:w="3312"/>
        <w:gridCol w:w="3312"/>
      </w:tblGrid>
      <w:tr>
        <w:tc>
          <w:tcPr>
            <w:tcW w:type="dxa" w:w="3312"/>
          </w:tcPr>
          <w:p>
            <w:r>
              <w:t>Evaluation Area</w:t>
            </w:r>
          </w:p>
        </w:tc>
        <w:tc>
          <w:tcPr>
            <w:tcW w:type="dxa" w:w="3312"/>
          </w:tcPr>
          <w:p>
            <w:r>
              <w:t>What To Demonstrate</w:t>
            </w:r>
          </w:p>
        </w:tc>
        <w:tc>
          <w:tcPr>
            <w:tcW w:type="dxa" w:w="3312"/>
          </w:tcPr>
          <w:p>
            <w:r>
              <w:t>Expected Signal</w:t>
            </w:r>
          </w:p>
        </w:tc>
      </w:tr>
      <w:tr>
        <w:tc>
          <w:tcPr>
            <w:tcW w:type="dxa" w:w="3312"/>
          </w:tcPr>
          <w:p>
            <w:r>
              <w:t>Problem fit</w:t>
            </w:r>
          </w:p>
        </w:tc>
        <w:tc>
          <w:tcPr>
            <w:tcW w:type="dxa" w:w="3312"/>
          </w:tcPr>
          <w:p>
            <w:r>
              <w:t>Need for verified peer learning and structured campus discovery</w:t>
            </w:r>
          </w:p>
        </w:tc>
        <w:tc>
          <w:tcPr>
            <w:tcW w:type="dxa" w:w="3312"/>
          </w:tcPr>
          <w:p>
            <w:r>
              <w:t>The project solves a real student coordination gap</w:t>
            </w:r>
          </w:p>
        </w:tc>
      </w:tr>
      <w:tr>
        <w:tc>
          <w:tcPr>
            <w:tcW w:type="dxa" w:w="3312"/>
          </w:tcPr>
          <w:p>
            <w:r>
              <w:t>Technical depth</w:t>
            </w:r>
          </w:p>
        </w:tc>
        <w:tc>
          <w:tcPr>
            <w:tcW w:type="dxa" w:w="3312"/>
          </w:tcPr>
          <w:p>
            <w:r>
              <w:t>Frontend, backend, database, and security choices</w:t>
            </w:r>
          </w:p>
        </w:tc>
        <w:tc>
          <w:tcPr>
            <w:tcW w:type="dxa" w:w="3312"/>
          </w:tcPr>
          <w:p>
            <w:r>
              <w:t>The team understands implementation trade-offs</w:t>
            </w:r>
          </w:p>
        </w:tc>
      </w:tr>
      <w:tr>
        <w:tc>
          <w:tcPr>
            <w:tcW w:type="dxa" w:w="3312"/>
          </w:tcPr>
          <w:p>
            <w:r>
              <w:t>Workflow completeness</w:t>
            </w:r>
          </w:p>
        </w:tc>
        <w:tc>
          <w:tcPr>
            <w:tcW w:type="dxa" w:w="3312"/>
          </w:tcPr>
          <w:p>
            <w:r>
              <w:t>Signup through session completion</w:t>
            </w:r>
          </w:p>
        </w:tc>
        <w:tc>
          <w:tcPr>
            <w:tcW w:type="dxa" w:w="3312"/>
          </w:tcPr>
          <w:p>
            <w:r>
              <w:t>UniSkill supports an end-to-end exchange loop</w:t>
            </w:r>
          </w:p>
        </w:tc>
      </w:tr>
      <w:tr>
        <w:tc>
          <w:tcPr>
            <w:tcW w:type="dxa" w:w="3312"/>
          </w:tcPr>
          <w:p>
            <w:r>
              <w:t>Trust model</w:t>
            </w:r>
          </w:p>
        </w:tc>
        <w:tc>
          <w:tcPr>
            <w:tcW w:type="dxa" w:w="3312"/>
          </w:tcPr>
          <w:p>
            <w:r>
              <w:t>OTP, vault design, auditability, and wallet controls</w:t>
            </w:r>
          </w:p>
        </w:tc>
        <w:tc>
          <w:tcPr>
            <w:tcW w:type="dxa" w:w="3312"/>
          </w:tcPr>
          <w:p>
            <w:r>
              <w:t>Safety and accountability are treated seriously</w:t>
            </w:r>
          </w:p>
        </w:tc>
      </w:tr>
      <w:tr>
        <w:tc>
          <w:tcPr>
            <w:tcW w:type="dxa" w:w="3312"/>
          </w:tcPr>
          <w:p>
            <w:r>
              <w:t>Future scope</w:t>
            </w:r>
          </w:p>
        </w:tc>
        <w:tc>
          <w:tcPr>
            <w:tcW w:type="dxa" w:w="3312"/>
          </w:tcPr>
          <w:p>
            <w:r>
              <w:t>Admin governance, analytics, and richer matching</w:t>
            </w:r>
          </w:p>
        </w:tc>
        <w:tc>
          <w:tcPr>
            <w:tcW w:type="dxa" w:w="3312"/>
          </w:tcPr>
          <w:p>
            <w:r>
              <w:t>The project can grow without losing its core architecture</w:t>
            </w:r>
          </w:p>
        </w:tc>
      </w:tr>
    </w:tbl>
    <w:p>
      <w:r>
        <w:t>Adding this appendix keeps the synopsis aligned with real project presentation needs while staying fully focused on UniSkill instead of the unrelated SQL optimizer content found in the original target file.</w:t>
      </w:r>
    </w:p>
    <w:p>
      <w:r>
        <w:br w:type="page"/>
      </w:r>
    </w:p>
    <w:p>
      <w:pPr>
        <w:pStyle w:val="Heading2"/>
      </w:pPr>
      <w:r>
        <w:t>C.3 Final synopsis takeaway</w:t>
      </w:r>
    </w:p>
    <w:p>
      <w:r>
        <w:t>The strongest closing message for the synopsis is that UniSkill is not just a marketplace idea, but a structured campus system that combines discovery, trust, session control, and credit accountability into one coherent workflow.</w:t>
      </w:r>
    </w:p>
    <w:p>
      <w:r>
        <w:t>This framing helps evaluators see the project as both technically grounded and socially relevant: it addresses a real student need while demonstrating modern full-stack engineering, data security awareness, and platform design discipline.</w:t>
      </w:r>
    </w:p>
    <w:p>
      <w:r>
        <w:t>By the end of the presentation, the audience should clearly understand the problem, the proposed solution, the major modules, the implementation approach, and the practical value of deploying UniSkill inside a university environment.</w:t>
      </w:r>
    </w:p>
    <w:sectPr w:rsidR="00FC693F" w:rsidRPr="0006063C" w:rsidSect="00034616">
      <w:headerReference w:type="default" r:id="rId9"/>
      <w:footerReference w:type="default" r:id="rId10"/>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17993"/>
        <w:sz w:val="18"/>
      </w:rPr>
      <w:t>UniSkill Documentation Suite</w:t>
      <w:b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17993"/>
        <w:sz w:val="18"/>
      </w:rPr>
      <w:t>UniSkill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0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D6E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1799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06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