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478" w:rsidRDefault="00EE7CF6" w:rsidP="00EE7CF6">
      <w:pPr>
        <w:jc w:val="center"/>
        <w:rPr>
          <w:b/>
          <w:sz w:val="28"/>
          <w:szCs w:val="28"/>
        </w:rPr>
      </w:pPr>
      <w:r>
        <w:rPr>
          <w:b/>
          <w:sz w:val="28"/>
          <w:szCs w:val="28"/>
        </w:rPr>
        <w:t xml:space="preserve">Harnessing </w:t>
      </w:r>
      <w:r w:rsidR="00C05C6D">
        <w:rPr>
          <w:b/>
          <w:sz w:val="28"/>
          <w:szCs w:val="28"/>
        </w:rPr>
        <w:t>Risk Factor</w:t>
      </w:r>
      <w:r>
        <w:rPr>
          <w:b/>
          <w:sz w:val="28"/>
          <w:szCs w:val="28"/>
        </w:rPr>
        <w:t xml:space="preserve"> Premia </w:t>
      </w:r>
      <w:r w:rsidR="006A4B59">
        <w:rPr>
          <w:b/>
          <w:sz w:val="28"/>
          <w:szCs w:val="28"/>
        </w:rPr>
        <w:t>&amp;</w:t>
      </w:r>
      <w:r w:rsidR="00B14277">
        <w:rPr>
          <w:b/>
          <w:sz w:val="28"/>
          <w:szCs w:val="28"/>
        </w:rPr>
        <w:t xml:space="preserve"> Multi-</w:t>
      </w:r>
      <w:r w:rsidR="00C05C6D">
        <w:rPr>
          <w:b/>
          <w:sz w:val="28"/>
          <w:szCs w:val="28"/>
        </w:rPr>
        <w:t xml:space="preserve">Factor </w:t>
      </w:r>
      <w:r w:rsidRPr="00EE7CF6">
        <w:rPr>
          <w:b/>
          <w:sz w:val="28"/>
          <w:szCs w:val="28"/>
        </w:rPr>
        <w:t>Portfolio Construction Methodology</w:t>
      </w:r>
    </w:p>
    <w:p w:rsidR="00EE7CF6" w:rsidRDefault="00EE7CF6" w:rsidP="00EE7CF6">
      <w:pPr>
        <w:rPr>
          <w:b/>
          <w:sz w:val="28"/>
          <w:szCs w:val="28"/>
        </w:rPr>
      </w:pPr>
    </w:p>
    <w:p w:rsidR="00EE7CF6" w:rsidRPr="00105101" w:rsidRDefault="00EE7CF6" w:rsidP="00EE7CF6">
      <w:pPr>
        <w:rPr>
          <w:rFonts w:ascii="Arial" w:hAnsi="Arial" w:cs="Arial"/>
          <w:b/>
          <w:sz w:val="24"/>
          <w:szCs w:val="24"/>
        </w:rPr>
      </w:pPr>
      <w:r w:rsidRPr="00105101">
        <w:rPr>
          <w:rFonts w:ascii="Arial" w:hAnsi="Arial" w:cs="Arial"/>
          <w:b/>
          <w:sz w:val="24"/>
          <w:szCs w:val="24"/>
        </w:rPr>
        <w:t>Introduction</w:t>
      </w:r>
    </w:p>
    <w:p w:rsidR="00EE7CF6" w:rsidRDefault="00EE7CF6" w:rsidP="00EE7CF6">
      <w:pPr>
        <w:jc w:val="both"/>
        <w:rPr>
          <w:rFonts w:ascii="Arial" w:hAnsi="Arial" w:cs="Arial"/>
          <w:sz w:val="20"/>
          <w:szCs w:val="20"/>
        </w:rPr>
      </w:pPr>
      <w:r w:rsidRPr="00EE7CF6">
        <w:rPr>
          <w:rFonts w:ascii="Arial" w:hAnsi="Arial" w:cs="Arial"/>
          <w:sz w:val="20"/>
          <w:szCs w:val="20"/>
        </w:rPr>
        <w:t xml:space="preserve">Factor </w:t>
      </w:r>
      <w:r>
        <w:rPr>
          <w:rFonts w:ascii="Arial" w:hAnsi="Arial" w:cs="Arial"/>
          <w:sz w:val="20"/>
          <w:szCs w:val="20"/>
        </w:rPr>
        <w:t xml:space="preserve">Investing has </w:t>
      </w:r>
      <w:r w:rsidRPr="00EE7CF6">
        <w:rPr>
          <w:rFonts w:ascii="Arial" w:hAnsi="Arial" w:cs="Arial"/>
          <w:sz w:val="20"/>
          <w:szCs w:val="20"/>
        </w:rPr>
        <w:t xml:space="preserve">become increasingly popular among institutional investors in </w:t>
      </w:r>
      <w:r>
        <w:rPr>
          <w:rFonts w:ascii="Arial" w:hAnsi="Arial" w:cs="Arial"/>
          <w:sz w:val="20"/>
          <w:szCs w:val="20"/>
        </w:rPr>
        <w:t>last 10 years</w:t>
      </w:r>
      <w:r w:rsidRPr="00EE7CF6">
        <w:rPr>
          <w:rFonts w:ascii="Arial" w:hAnsi="Arial" w:cs="Arial"/>
          <w:sz w:val="20"/>
          <w:szCs w:val="20"/>
        </w:rPr>
        <w:t>. There has been a significant rise in the number and variations of products, and assets flowing into this space.</w:t>
      </w:r>
      <w:r>
        <w:rPr>
          <w:rFonts w:ascii="Arial" w:hAnsi="Arial" w:cs="Arial"/>
          <w:sz w:val="20"/>
          <w:szCs w:val="20"/>
        </w:rPr>
        <w:t xml:space="preserve"> </w:t>
      </w:r>
      <w:r w:rsidRPr="00EE7CF6">
        <w:rPr>
          <w:rFonts w:ascii="Arial" w:hAnsi="Arial" w:cs="Arial"/>
          <w:sz w:val="20"/>
          <w:szCs w:val="20"/>
        </w:rPr>
        <w:t xml:space="preserve">A common perception is that all quantitative managers are the same: </w:t>
      </w:r>
      <w:r>
        <w:rPr>
          <w:rFonts w:ascii="Arial" w:hAnsi="Arial" w:cs="Arial"/>
          <w:sz w:val="20"/>
          <w:szCs w:val="20"/>
        </w:rPr>
        <w:t>they</w:t>
      </w:r>
      <w:r w:rsidRPr="00EE7CF6">
        <w:rPr>
          <w:rFonts w:ascii="Arial" w:hAnsi="Arial" w:cs="Arial"/>
          <w:sz w:val="20"/>
          <w:szCs w:val="20"/>
        </w:rPr>
        <w:t xml:space="preserve"> analyze the same data, use the same factors, and employ the same statistical techniques. It follows, then, that </w:t>
      </w:r>
      <w:r>
        <w:rPr>
          <w:rFonts w:ascii="Arial" w:hAnsi="Arial" w:cs="Arial"/>
          <w:sz w:val="20"/>
          <w:szCs w:val="20"/>
        </w:rPr>
        <w:t>they</w:t>
      </w:r>
      <w:r w:rsidRPr="00EE7CF6">
        <w:rPr>
          <w:rFonts w:ascii="Arial" w:hAnsi="Arial" w:cs="Arial"/>
          <w:sz w:val="20"/>
          <w:szCs w:val="20"/>
        </w:rPr>
        <w:t xml:space="preserve"> invest using the same generic factor models such as value, quality, momentum, or size. However, while the underlying concepts may be similar, how one constructs a model and transforms a common dataset makes a substantial difference in the returns and risk profile of the outcomes.</w:t>
      </w:r>
      <w:r w:rsidR="00E81689">
        <w:rPr>
          <w:rFonts w:ascii="Arial" w:hAnsi="Arial" w:cs="Arial"/>
          <w:sz w:val="20"/>
          <w:szCs w:val="20"/>
        </w:rPr>
        <w:t xml:space="preserve"> These are the following factors that should be considered while building any single or multifactor risk premium strategy:</w:t>
      </w:r>
    </w:p>
    <w:p w:rsidR="00E81689" w:rsidRPr="00E81689" w:rsidRDefault="00E81689" w:rsidP="004B6321">
      <w:pPr>
        <w:pStyle w:val="ListParagraph"/>
        <w:numPr>
          <w:ilvl w:val="0"/>
          <w:numId w:val="4"/>
        </w:numPr>
        <w:spacing w:line="240" w:lineRule="auto"/>
        <w:jc w:val="both"/>
        <w:rPr>
          <w:rFonts w:ascii="Arial" w:hAnsi="Arial" w:cs="Arial"/>
          <w:sz w:val="20"/>
          <w:szCs w:val="20"/>
        </w:rPr>
      </w:pPr>
      <w:r>
        <w:rPr>
          <w:rFonts w:ascii="Arial" w:hAnsi="Arial" w:cs="Arial"/>
          <w:sz w:val="20"/>
          <w:szCs w:val="20"/>
        </w:rPr>
        <w:t>Signal</w:t>
      </w:r>
      <w:r w:rsidRPr="00E81689">
        <w:rPr>
          <w:rFonts w:ascii="Arial" w:hAnsi="Arial" w:cs="Arial"/>
          <w:sz w:val="20"/>
          <w:szCs w:val="20"/>
        </w:rPr>
        <w:t xml:space="preserve"> measure</w:t>
      </w:r>
      <w:r w:rsidR="00B84276">
        <w:rPr>
          <w:rFonts w:ascii="Arial" w:hAnsi="Arial" w:cs="Arial"/>
          <w:sz w:val="20"/>
          <w:szCs w:val="20"/>
        </w:rPr>
        <w:t xml:space="preserve"> (Different Metrics representing the factor in question)</w:t>
      </w:r>
    </w:p>
    <w:p w:rsidR="00E81689" w:rsidRPr="00E81689" w:rsidRDefault="00E81689" w:rsidP="004B6321">
      <w:pPr>
        <w:pStyle w:val="ListParagraph"/>
        <w:numPr>
          <w:ilvl w:val="0"/>
          <w:numId w:val="4"/>
        </w:numPr>
        <w:spacing w:line="240" w:lineRule="auto"/>
        <w:jc w:val="both"/>
        <w:rPr>
          <w:rFonts w:ascii="Arial" w:hAnsi="Arial" w:cs="Arial"/>
          <w:sz w:val="20"/>
          <w:szCs w:val="20"/>
        </w:rPr>
      </w:pPr>
      <w:r w:rsidRPr="00E81689">
        <w:rPr>
          <w:rFonts w:ascii="Arial" w:hAnsi="Arial" w:cs="Arial"/>
          <w:sz w:val="20"/>
          <w:szCs w:val="20"/>
        </w:rPr>
        <w:t>Lookback period</w:t>
      </w:r>
      <w:r>
        <w:rPr>
          <w:rFonts w:ascii="Arial" w:hAnsi="Arial" w:cs="Arial"/>
          <w:sz w:val="20"/>
          <w:szCs w:val="20"/>
        </w:rPr>
        <w:t xml:space="preserve"> </w:t>
      </w:r>
      <w:r w:rsidR="00B84276">
        <w:rPr>
          <w:rFonts w:ascii="Arial" w:hAnsi="Arial" w:cs="Arial"/>
          <w:sz w:val="20"/>
          <w:szCs w:val="20"/>
        </w:rPr>
        <w:t>(Signal look back. For Ex, 3m, 6m, 9M, 12M momentum)</w:t>
      </w:r>
    </w:p>
    <w:p w:rsidR="00E81689" w:rsidRPr="00E81689" w:rsidRDefault="00E81689" w:rsidP="004B6321">
      <w:pPr>
        <w:pStyle w:val="ListParagraph"/>
        <w:numPr>
          <w:ilvl w:val="0"/>
          <w:numId w:val="4"/>
        </w:numPr>
        <w:spacing w:line="240" w:lineRule="auto"/>
        <w:jc w:val="both"/>
        <w:rPr>
          <w:rFonts w:ascii="Arial" w:hAnsi="Arial" w:cs="Arial"/>
          <w:sz w:val="20"/>
          <w:szCs w:val="20"/>
        </w:rPr>
      </w:pPr>
      <w:r w:rsidRPr="00E81689">
        <w:rPr>
          <w:rFonts w:ascii="Arial" w:hAnsi="Arial" w:cs="Arial"/>
          <w:sz w:val="20"/>
          <w:szCs w:val="20"/>
        </w:rPr>
        <w:t>Rebalance frequency</w:t>
      </w:r>
      <w:r w:rsidR="00B84276">
        <w:rPr>
          <w:rFonts w:ascii="Arial" w:hAnsi="Arial" w:cs="Arial"/>
          <w:sz w:val="20"/>
          <w:szCs w:val="20"/>
        </w:rPr>
        <w:t xml:space="preserve"> (Ex: Weekly, Monthly, Quarterly)</w:t>
      </w:r>
    </w:p>
    <w:p w:rsidR="00E81689" w:rsidRPr="00E81689" w:rsidRDefault="00E81689" w:rsidP="004B6321">
      <w:pPr>
        <w:pStyle w:val="ListParagraph"/>
        <w:numPr>
          <w:ilvl w:val="0"/>
          <w:numId w:val="4"/>
        </w:numPr>
        <w:spacing w:line="240" w:lineRule="auto"/>
        <w:jc w:val="both"/>
        <w:rPr>
          <w:rFonts w:ascii="Arial" w:hAnsi="Arial" w:cs="Arial"/>
          <w:sz w:val="20"/>
          <w:szCs w:val="20"/>
        </w:rPr>
      </w:pPr>
      <w:r w:rsidRPr="00E81689">
        <w:rPr>
          <w:rFonts w:ascii="Arial" w:hAnsi="Arial" w:cs="Arial"/>
          <w:sz w:val="20"/>
          <w:szCs w:val="20"/>
        </w:rPr>
        <w:t>Concentration</w:t>
      </w:r>
      <w:r w:rsidR="00B84276">
        <w:rPr>
          <w:rFonts w:ascii="Arial" w:hAnsi="Arial" w:cs="Arial"/>
          <w:sz w:val="20"/>
          <w:szCs w:val="20"/>
        </w:rPr>
        <w:t xml:space="preserve"> (Ex: Top 10 percent, 20 percent)</w:t>
      </w:r>
    </w:p>
    <w:p w:rsidR="00E81689" w:rsidRPr="00E81689" w:rsidRDefault="00E81689" w:rsidP="004B6321">
      <w:pPr>
        <w:pStyle w:val="ListParagraph"/>
        <w:numPr>
          <w:ilvl w:val="0"/>
          <w:numId w:val="4"/>
        </w:numPr>
        <w:spacing w:line="240" w:lineRule="auto"/>
        <w:jc w:val="both"/>
        <w:rPr>
          <w:rFonts w:ascii="Arial" w:hAnsi="Arial" w:cs="Arial"/>
          <w:sz w:val="20"/>
          <w:szCs w:val="20"/>
        </w:rPr>
      </w:pPr>
      <w:r w:rsidRPr="00E81689">
        <w:rPr>
          <w:rFonts w:ascii="Arial" w:hAnsi="Arial" w:cs="Arial"/>
          <w:sz w:val="20"/>
          <w:szCs w:val="20"/>
        </w:rPr>
        <w:t>Weighting Scheme</w:t>
      </w:r>
      <w:r w:rsidR="00B84276">
        <w:rPr>
          <w:rFonts w:ascii="Arial" w:hAnsi="Arial" w:cs="Arial"/>
          <w:sz w:val="20"/>
          <w:szCs w:val="20"/>
        </w:rPr>
        <w:t xml:space="preserve"> (Market Cap, Equal, Fundamental,</w:t>
      </w:r>
      <w:r w:rsidR="00E06820">
        <w:rPr>
          <w:rFonts w:ascii="Arial" w:hAnsi="Arial" w:cs="Arial"/>
          <w:sz w:val="20"/>
          <w:szCs w:val="20"/>
        </w:rPr>
        <w:t xml:space="preserve"> Signal,</w:t>
      </w:r>
      <w:r w:rsidR="00B84276">
        <w:rPr>
          <w:rFonts w:ascii="Arial" w:hAnsi="Arial" w:cs="Arial"/>
          <w:sz w:val="20"/>
          <w:szCs w:val="20"/>
        </w:rPr>
        <w:t xml:space="preserve"> Risk, Correlation)</w:t>
      </w:r>
    </w:p>
    <w:p w:rsidR="00E81689" w:rsidRDefault="00E81689" w:rsidP="004B6321">
      <w:pPr>
        <w:pStyle w:val="ListParagraph"/>
        <w:numPr>
          <w:ilvl w:val="0"/>
          <w:numId w:val="4"/>
        </w:numPr>
        <w:spacing w:line="240" w:lineRule="auto"/>
        <w:jc w:val="both"/>
        <w:rPr>
          <w:rFonts w:ascii="Arial" w:hAnsi="Arial" w:cs="Arial"/>
          <w:sz w:val="20"/>
          <w:szCs w:val="20"/>
        </w:rPr>
      </w:pPr>
      <w:r w:rsidRPr="00E81689">
        <w:rPr>
          <w:rFonts w:ascii="Arial" w:hAnsi="Arial" w:cs="Arial"/>
          <w:sz w:val="20"/>
          <w:szCs w:val="20"/>
        </w:rPr>
        <w:t>Sector Constraints</w:t>
      </w:r>
      <w:r w:rsidR="00B84276">
        <w:rPr>
          <w:rFonts w:ascii="Arial" w:hAnsi="Arial" w:cs="Arial"/>
          <w:sz w:val="20"/>
          <w:szCs w:val="20"/>
        </w:rPr>
        <w:t xml:space="preserve"> (Neutral, overweight, underweight)</w:t>
      </w:r>
    </w:p>
    <w:p w:rsidR="00B84276" w:rsidRDefault="00B84276" w:rsidP="004B6321">
      <w:pPr>
        <w:pStyle w:val="ListParagraph"/>
        <w:numPr>
          <w:ilvl w:val="0"/>
          <w:numId w:val="4"/>
        </w:numPr>
        <w:spacing w:line="240" w:lineRule="auto"/>
        <w:jc w:val="both"/>
        <w:rPr>
          <w:rFonts w:ascii="Arial" w:hAnsi="Arial" w:cs="Arial"/>
          <w:sz w:val="20"/>
          <w:szCs w:val="20"/>
        </w:rPr>
      </w:pPr>
      <w:r>
        <w:rPr>
          <w:rFonts w:ascii="Arial" w:hAnsi="Arial" w:cs="Arial"/>
          <w:sz w:val="20"/>
          <w:szCs w:val="20"/>
        </w:rPr>
        <w:t>Multifactor Portfolio Construction (Mixing, Integrating, Optimization)</w:t>
      </w:r>
    </w:p>
    <w:p w:rsidR="004B6321" w:rsidRDefault="004B6321" w:rsidP="004B6321">
      <w:pPr>
        <w:spacing w:line="240" w:lineRule="auto"/>
        <w:jc w:val="both"/>
        <w:rPr>
          <w:rFonts w:ascii="Arial" w:hAnsi="Arial" w:cs="Arial"/>
          <w:b/>
          <w:sz w:val="24"/>
          <w:szCs w:val="24"/>
        </w:rPr>
      </w:pPr>
    </w:p>
    <w:p w:rsidR="00E81689" w:rsidRDefault="004B6321" w:rsidP="004B6321">
      <w:pPr>
        <w:spacing w:line="240" w:lineRule="auto"/>
        <w:jc w:val="both"/>
        <w:rPr>
          <w:rFonts w:ascii="Arial" w:hAnsi="Arial" w:cs="Arial"/>
          <w:b/>
          <w:sz w:val="24"/>
          <w:szCs w:val="24"/>
        </w:rPr>
      </w:pPr>
      <w:r w:rsidRPr="004B6321">
        <w:rPr>
          <w:rFonts w:ascii="Arial" w:hAnsi="Arial" w:cs="Arial"/>
          <w:b/>
          <w:sz w:val="24"/>
          <w:szCs w:val="24"/>
        </w:rPr>
        <w:t>Data</w:t>
      </w:r>
      <w:r>
        <w:rPr>
          <w:rFonts w:ascii="Arial" w:hAnsi="Arial" w:cs="Arial"/>
          <w:b/>
          <w:sz w:val="24"/>
          <w:szCs w:val="24"/>
        </w:rPr>
        <w:t xml:space="preserve"> </w:t>
      </w:r>
    </w:p>
    <w:p w:rsidR="004B6321" w:rsidRPr="004B6321" w:rsidRDefault="004B6321" w:rsidP="004B6321">
      <w:pPr>
        <w:spacing w:line="240" w:lineRule="auto"/>
        <w:jc w:val="both"/>
        <w:rPr>
          <w:rFonts w:ascii="Arial" w:hAnsi="Arial" w:cs="Arial"/>
          <w:sz w:val="20"/>
          <w:szCs w:val="20"/>
        </w:rPr>
      </w:pPr>
      <w:r>
        <w:rPr>
          <w:rFonts w:ascii="Arial" w:hAnsi="Arial" w:cs="Arial"/>
          <w:sz w:val="20"/>
          <w:szCs w:val="20"/>
        </w:rPr>
        <w:t>All securities from Russell 3000 index with market cap &gt; 500 mm and Price &gt; $1.</w:t>
      </w:r>
    </w:p>
    <w:p w:rsidR="004B6321" w:rsidRDefault="004B6321" w:rsidP="00E81689">
      <w:pPr>
        <w:spacing w:line="240" w:lineRule="auto"/>
        <w:jc w:val="both"/>
        <w:rPr>
          <w:rFonts w:ascii="Arial" w:hAnsi="Arial" w:cs="Arial"/>
          <w:b/>
          <w:sz w:val="24"/>
          <w:szCs w:val="24"/>
        </w:rPr>
      </w:pPr>
    </w:p>
    <w:p w:rsidR="00E81689" w:rsidRPr="00105101" w:rsidRDefault="00E81689" w:rsidP="00E81689">
      <w:pPr>
        <w:spacing w:line="240" w:lineRule="auto"/>
        <w:jc w:val="both"/>
        <w:rPr>
          <w:rFonts w:ascii="Arial" w:hAnsi="Arial" w:cs="Arial"/>
          <w:b/>
          <w:sz w:val="24"/>
          <w:szCs w:val="24"/>
        </w:rPr>
      </w:pPr>
      <w:r w:rsidRPr="00105101">
        <w:rPr>
          <w:rFonts w:ascii="Arial" w:hAnsi="Arial" w:cs="Arial"/>
          <w:b/>
          <w:sz w:val="24"/>
          <w:szCs w:val="24"/>
        </w:rPr>
        <w:t>Value</w:t>
      </w:r>
      <w:r w:rsidR="00E54C58" w:rsidRPr="00105101">
        <w:rPr>
          <w:rFonts w:ascii="Arial" w:hAnsi="Arial" w:cs="Arial"/>
          <w:b/>
          <w:sz w:val="24"/>
          <w:szCs w:val="24"/>
        </w:rPr>
        <w:t xml:space="preserve"> Factor</w:t>
      </w:r>
      <w:r w:rsidR="004B6321">
        <w:rPr>
          <w:rFonts w:ascii="Arial" w:hAnsi="Arial" w:cs="Arial"/>
          <w:b/>
          <w:sz w:val="24"/>
          <w:szCs w:val="24"/>
        </w:rPr>
        <w:t xml:space="preserve"> </w:t>
      </w:r>
    </w:p>
    <w:p w:rsidR="00A72385" w:rsidRDefault="00A72385" w:rsidP="00E81689">
      <w:pPr>
        <w:spacing w:line="240" w:lineRule="auto"/>
        <w:jc w:val="both"/>
        <w:rPr>
          <w:rFonts w:ascii="Arial" w:hAnsi="Arial" w:cs="Arial"/>
          <w:sz w:val="20"/>
          <w:szCs w:val="20"/>
        </w:rPr>
      </w:pPr>
      <w:r>
        <w:rPr>
          <w:rFonts w:ascii="Arial" w:hAnsi="Arial" w:cs="Arial"/>
          <w:sz w:val="20"/>
          <w:szCs w:val="20"/>
        </w:rPr>
        <w:t>A</w:t>
      </w:r>
      <w:r w:rsidR="00E81689" w:rsidRPr="00E81689">
        <w:rPr>
          <w:rFonts w:ascii="Arial" w:hAnsi="Arial" w:cs="Arial"/>
          <w:sz w:val="20"/>
          <w:szCs w:val="20"/>
        </w:rPr>
        <w:t xml:space="preserve">cademic researchers have published </w:t>
      </w:r>
      <w:r>
        <w:rPr>
          <w:rFonts w:ascii="Arial" w:hAnsi="Arial" w:cs="Arial"/>
          <w:sz w:val="20"/>
          <w:szCs w:val="20"/>
        </w:rPr>
        <w:t xml:space="preserve">multiple </w:t>
      </w:r>
      <w:r w:rsidR="00E81689" w:rsidRPr="00E81689">
        <w:rPr>
          <w:rFonts w:ascii="Arial" w:hAnsi="Arial" w:cs="Arial"/>
          <w:sz w:val="20"/>
          <w:szCs w:val="20"/>
        </w:rPr>
        <w:t xml:space="preserve">literature </w:t>
      </w:r>
      <w:r>
        <w:rPr>
          <w:rFonts w:ascii="Arial" w:hAnsi="Arial" w:cs="Arial"/>
          <w:sz w:val="20"/>
          <w:szCs w:val="20"/>
        </w:rPr>
        <w:t xml:space="preserve">since Graham and Dodd </w:t>
      </w:r>
      <w:r w:rsidR="00E81689" w:rsidRPr="00E81689">
        <w:rPr>
          <w:rFonts w:ascii="Arial" w:hAnsi="Arial" w:cs="Arial"/>
          <w:sz w:val="20"/>
          <w:szCs w:val="20"/>
        </w:rPr>
        <w:t>showing that value investing can consistently generate positive returns over the long run. Consequently, value investing has become the bedrock of many quantitative processes with models systematically identifying cheap stocks.</w:t>
      </w:r>
      <w:r>
        <w:rPr>
          <w:rFonts w:ascii="Arial" w:hAnsi="Arial" w:cs="Arial"/>
          <w:sz w:val="20"/>
          <w:szCs w:val="20"/>
        </w:rPr>
        <w:t xml:space="preserve"> Value stocks can be identified using various atomic signals. </w:t>
      </w:r>
      <w:r w:rsidR="009A03AC">
        <w:rPr>
          <w:rFonts w:ascii="Arial" w:hAnsi="Arial" w:cs="Arial"/>
          <w:sz w:val="20"/>
          <w:szCs w:val="20"/>
        </w:rPr>
        <w:t>For ex - t</w:t>
      </w:r>
      <w:r w:rsidRPr="00A72385">
        <w:rPr>
          <w:rFonts w:ascii="Arial" w:hAnsi="Arial" w:cs="Arial"/>
          <w:sz w:val="20"/>
          <w:szCs w:val="20"/>
        </w:rPr>
        <w:t xml:space="preserve">he Fama-French </w:t>
      </w:r>
      <w:r w:rsidR="009A03AC">
        <w:rPr>
          <w:rFonts w:ascii="Arial" w:hAnsi="Arial" w:cs="Arial"/>
          <w:sz w:val="20"/>
          <w:szCs w:val="20"/>
        </w:rPr>
        <w:t xml:space="preserve">3 factor models use </w:t>
      </w:r>
      <w:r w:rsidRPr="00A72385">
        <w:rPr>
          <w:rFonts w:ascii="Arial" w:hAnsi="Arial" w:cs="Arial"/>
          <w:sz w:val="20"/>
          <w:szCs w:val="20"/>
        </w:rPr>
        <w:t xml:space="preserve">High minus Low (HML) factor </w:t>
      </w:r>
      <w:r w:rsidR="009A03AC">
        <w:rPr>
          <w:rFonts w:ascii="Arial" w:hAnsi="Arial" w:cs="Arial"/>
          <w:sz w:val="20"/>
          <w:szCs w:val="20"/>
        </w:rPr>
        <w:t>is</w:t>
      </w:r>
      <w:r w:rsidRPr="00A72385">
        <w:rPr>
          <w:rFonts w:ascii="Arial" w:hAnsi="Arial" w:cs="Arial"/>
          <w:sz w:val="20"/>
          <w:szCs w:val="20"/>
        </w:rPr>
        <w:t xml:space="preserve"> </w:t>
      </w:r>
      <w:r w:rsidR="009A03AC">
        <w:rPr>
          <w:rFonts w:ascii="Arial" w:hAnsi="Arial" w:cs="Arial"/>
          <w:sz w:val="20"/>
          <w:szCs w:val="20"/>
        </w:rPr>
        <w:t xml:space="preserve">a </w:t>
      </w:r>
      <w:r w:rsidRPr="00A72385">
        <w:rPr>
          <w:rFonts w:ascii="Arial" w:hAnsi="Arial" w:cs="Arial"/>
          <w:sz w:val="20"/>
          <w:szCs w:val="20"/>
        </w:rPr>
        <w:t xml:space="preserve">book-to-price (B/P) measure to partition value and growth stocks. </w:t>
      </w:r>
    </w:p>
    <w:p w:rsidR="00FC4D58" w:rsidRDefault="00FC4D58" w:rsidP="00B56A84">
      <w:pPr>
        <w:spacing w:line="240" w:lineRule="auto"/>
        <w:rPr>
          <w:rFonts w:ascii="Arial" w:hAnsi="Arial" w:cs="Arial"/>
          <w:sz w:val="20"/>
          <w:szCs w:val="20"/>
        </w:rPr>
      </w:pPr>
      <w:r w:rsidRPr="00B56A84">
        <w:rPr>
          <w:rFonts w:ascii="Arial" w:hAnsi="Arial" w:cs="Arial"/>
          <w:b/>
          <w:sz w:val="16"/>
          <w:szCs w:val="16"/>
        </w:rPr>
        <w:t xml:space="preserve">Below figure </w:t>
      </w:r>
      <w:r w:rsidR="00A72385" w:rsidRPr="00B56A84">
        <w:rPr>
          <w:rFonts w:ascii="Arial" w:hAnsi="Arial" w:cs="Arial"/>
          <w:b/>
          <w:sz w:val="16"/>
          <w:szCs w:val="16"/>
        </w:rPr>
        <w:t xml:space="preserve">compares the returns for the value stocks </w:t>
      </w:r>
      <w:r w:rsidRPr="00B56A84">
        <w:rPr>
          <w:rFonts w:ascii="Arial" w:hAnsi="Arial" w:cs="Arial"/>
          <w:b/>
          <w:sz w:val="16"/>
          <w:szCs w:val="16"/>
        </w:rPr>
        <w:t>using B/P ratio over the period 1999-2018</w:t>
      </w:r>
      <w:r w:rsidR="00B56A84" w:rsidRPr="00B56A84">
        <w:rPr>
          <w:rFonts w:ascii="Arial" w:hAnsi="Arial" w:cs="Arial"/>
          <w:b/>
          <w:sz w:val="16"/>
          <w:szCs w:val="16"/>
        </w:rPr>
        <w:t xml:space="preserve"> </w:t>
      </w:r>
      <w:r w:rsidRPr="00FC4D58">
        <w:rPr>
          <w:noProof/>
        </w:rPr>
        <w:drawing>
          <wp:inline distT="0" distB="0" distL="0" distR="0">
            <wp:extent cx="4543425" cy="2752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3425" cy="2752725"/>
                    </a:xfrm>
                    <a:prstGeom prst="rect">
                      <a:avLst/>
                    </a:prstGeom>
                    <a:noFill/>
                    <a:ln>
                      <a:noFill/>
                    </a:ln>
                  </pic:spPr>
                </pic:pic>
              </a:graphicData>
            </a:graphic>
          </wp:inline>
        </w:drawing>
      </w:r>
    </w:p>
    <w:p w:rsidR="00A72385" w:rsidRDefault="00FC4D58" w:rsidP="00FC4D58">
      <w:pPr>
        <w:spacing w:line="240" w:lineRule="auto"/>
        <w:jc w:val="both"/>
        <w:rPr>
          <w:rFonts w:ascii="Arial" w:hAnsi="Arial" w:cs="Arial"/>
          <w:i/>
          <w:sz w:val="16"/>
          <w:szCs w:val="16"/>
        </w:rPr>
      </w:pPr>
      <w:r>
        <w:rPr>
          <w:rFonts w:ascii="Arial" w:hAnsi="Arial" w:cs="Arial"/>
          <w:sz w:val="20"/>
          <w:szCs w:val="20"/>
        </w:rPr>
        <w:t>*</w:t>
      </w:r>
      <w:r>
        <w:rPr>
          <w:rFonts w:ascii="Arial" w:hAnsi="Arial" w:cs="Arial"/>
          <w:i/>
          <w:sz w:val="16"/>
          <w:szCs w:val="16"/>
        </w:rPr>
        <w:t>Above returns chart generated by constructing equal weighted quintile portfolio using monthly rebalancing</w:t>
      </w:r>
    </w:p>
    <w:p w:rsidR="00991390" w:rsidRDefault="00991390" w:rsidP="00FC4D58">
      <w:pPr>
        <w:spacing w:line="240" w:lineRule="auto"/>
        <w:jc w:val="both"/>
        <w:rPr>
          <w:rFonts w:ascii="Arial" w:hAnsi="Arial" w:cs="Arial"/>
          <w:sz w:val="20"/>
          <w:szCs w:val="20"/>
        </w:rPr>
      </w:pPr>
      <w:r>
        <w:rPr>
          <w:rFonts w:ascii="Arial" w:hAnsi="Arial" w:cs="Arial"/>
          <w:sz w:val="20"/>
          <w:szCs w:val="20"/>
        </w:rPr>
        <w:lastRenderedPageBreak/>
        <w:t xml:space="preserve">As the value model becomes more refined using different atomic signals </w:t>
      </w:r>
      <w:r w:rsidR="003D1B58">
        <w:rPr>
          <w:rFonts w:ascii="Arial" w:hAnsi="Arial" w:cs="Arial"/>
          <w:sz w:val="20"/>
          <w:szCs w:val="20"/>
        </w:rPr>
        <w:t>for value metrics and reducing the biases, we generally observed improved total return as well as better risk-adjusted returns.</w:t>
      </w:r>
    </w:p>
    <w:p w:rsidR="003D1B58" w:rsidRPr="005D12CA" w:rsidRDefault="003D1B58" w:rsidP="00FC4D58">
      <w:pPr>
        <w:spacing w:line="240" w:lineRule="auto"/>
        <w:jc w:val="both"/>
        <w:rPr>
          <w:rFonts w:ascii="Arial" w:hAnsi="Arial" w:cs="Arial"/>
          <w:b/>
          <w:sz w:val="20"/>
          <w:szCs w:val="20"/>
        </w:rPr>
      </w:pPr>
      <w:r w:rsidRPr="005D12CA">
        <w:rPr>
          <w:rFonts w:ascii="Arial" w:hAnsi="Arial" w:cs="Arial"/>
          <w:b/>
          <w:sz w:val="20"/>
          <w:szCs w:val="20"/>
        </w:rPr>
        <w:t>Table below compares the value portfolio return</w:t>
      </w:r>
      <w:r w:rsidR="00663D1B" w:rsidRPr="005D12CA">
        <w:rPr>
          <w:rFonts w:ascii="Arial" w:hAnsi="Arial" w:cs="Arial"/>
          <w:b/>
          <w:sz w:val="20"/>
          <w:szCs w:val="20"/>
        </w:rPr>
        <w:t>s using different value metrics (1999-2018)</w:t>
      </w:r>
    </w:p>
    <w:p w:rsidR="003D1B58" w:rsidRDefault="00965FD4" w:rsidP="00FC4D58">
      <w:pPr>
        <w:spacing w:line="240" w:lineRule="auto"/>
        <w:jc w:val="both"/>
        <w:rPr>
          <w:rFonts w:ascii="Arial" w:hAnsi="Arial" w:cs="Arial"/>
          <w:sz w:val="20"/>
          <w:szCs w:val="20"/>
        </w:rPr>
      </w:pPr>
      <w:r w:rsidRPr="00965FD4">
        <w:rPr>
          <w:noProof/>
        </w:rPr>
        <w:drawing>
          <wp:inline distT="0" distB="0" distL="0" distR="0">
            <wp:extent cx="7184476" cy="1057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36307" cy="1064902"/>
                    </a:xfrm>
                    <a:prstGeom prst="rect">
                      <a:avLst/>
                    </a:prstGeom>
                    <a:noFill/>
                    <a:ln>
                      <a:noFill/>
                    </a:ln>
                  </pic:spPr>
                </pic:pic>
              </a:graphicData>
            </a:graphic>
          </wp:inline>
        </w:drawing>
      </w:r>
    </w:p>
    <w:p w:rsidR="00E108E3" w:rsidRPr="00991390" w:rsidRDefault="00E108E3" w:rsidP="00FC4D58">
      <w:pPr>
        <w:spacing w:line="240" w:lineRule="auto"/>
        <w:jc w:val="both"/>
        <w:rPr>
          <w:rFonts w:ascii="Arial" w:hAnsi="Arial" w:cs="Arial"/>
          <w:sz w:val="20"/>
          <w:szCs w:val="20"/>
        </w:rPr>
      </w:pPr>
      <w:r w:rsidRPr="00E108E3">
        <w:rPr>
          <w:noProof/>
        </w:rPr>
        <w:drawing>
          <wp:inline distT="0" distB="0" distL="0" distR="0">
            <wp:extent cx="3148965" cy="5962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8965" cy="596265"/>
                    </a:xfrm>
                    <a:prstGeom prst="rect">
                      <a:avLst/>
                    </a:prstGeom>
                    <a:noFill/>
                    <a:ln>
                      <a:noFill/>
                    </a:ln>
                  </pic:spPr>
                </pic:pic>
              </a:graphicData>
            </a:graphic>
          </wp:inline>
        </w:drawing>
      </w:r>
    </w:p>
    <w:p w:rsidR="00663D1B" w:rsidRDefault="00663D1B" w:rsidP="00D84465">
      <w:pPr>
        <w:jc w:val="both"/>
        <w:rPr>
          <w:rFonts w:ascii="Arial" w:hAnsi="Arial" w:cs="Arial"/>
          <w:sz w:val="20"/>
          <w:szCs w:val="20"/>
        </w:rPr>
      </w:pPr>
      <w:r>
        <w:rPr>
          <w:rFonts w:ascii="Arial" w:hAnsi="Arial" w:cs="Arial"/>
          <w:sz w:val="20"/>
          <w:szCs w:val="20"/>
        </w:rPr>
        <w:t xml:space="preserve">In the above table, we have used the market cap weighting scheme to build a value portfolio. However, one of the contentions with using </w:t>
      </w:r>
      <w:r w:rsidR="009715CF">
        <w:rPr>
          <w:rFonts w:ascii="Arial" w:hAnsi="Arial" w:cs="Arial"/>
          <w:sz w:val="20"/>
          <w:szCs w:val="20"/>
        </w:rPr>
        <w:t>this</w:t>
      </w:r>
      <w:r>
        <w:rPr>
          <w:rFonts w:ascii="Arial" w:hAnsi="Arial" w:cs="Arial"/>
          <w:sz w:val="20"/>
          <w:szCs w:val="20"/>
        </w:rPr>
        <w:t xml:space="preserve"> scheme is that the overvalued firms will have more exposure in the portfolio and therefore diluting the desired exposure to cheap stock. Empirically we can show that using an equal weighting scheme will not only improve the annual returns but also risk adjusted returns as well which we can see in the form of improved IR.</w:t>
      </w:r>
    </w:p>
    <w:p w:rsidR="005D12CA" w:rsidRDefault="005D12CA" w:rsidP="00EE7CF6">
      <w:pPr>
        <w:jc w:val="both"/>
        <w:rPr>
          <w:rFonts w:ascii="Arial" w:hAnsi="Arial" w:cs="Arial"/>
          <w:b/>
          <w:sz w:val="20"/>
          <w:szCs w:val="20"/>
        </w:rPr>
      </w:pPr>
    </w:p>
    <w:p w:rsidR="00B84276" w:rsidRPr="00D84465" w:rsidRDefault="00D84465" w:rsidP="00EE7CF6">
      <w:pPr>
        <w:jc w:val="both"/>
        <w:rPr>
          <w:rFonts w:ascii="Arial" w:hAnsi="Arial" w:cs="Arial"/>
          <w:b/>
          <w:sz w:val="20"/>
          <w:szCs w:val="20"/>
        </w:rPr>
      </w:pPr>
      <w:r w:rsidRPr="00D84465">
        <w:rPr>
          <w:rFonts w:ascii="Arial" w:hAnsi="Arial" w:cs="Arial"/>
          <w:b/>
          <w:sz w:val="20"/>
          <w:szCs w:val="20"/>
        </w:rPr>
        <w:t>Equal Weighted Value Portfolio</w:t>
      </w:r>
    </w:p>
    <w:p w:rsidR="00663D1B" w:rsidRDefault="00C86122" w:rsidP="00EE7CF6">
      <w:pPr>
        <w:jc w:val="both"/>
        <w:rPr>
          <w:rFonts w:ascii="Arial" w:hAnsi="Arial" w:cs="Arial"/>
          <w:sz w:val="20"/>
          <w:szCs w:val="20"/>
        </w:rPr>
      </w:pPr>
      <w:r w:rsidRPr="00C86122">
        <w:rPr>
          <w:noProof/>
        </w:rPr>
        <w:drawing>
          <wp:inline distT="0" distB="0" distL="0" distR="0">
            <wp:extent cx="7162828" cy="10495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86119" cy="1052985"/>
                    </a:xfrm>
                    <a:prstGeom prst="rect">
                      <a:avLst/>
                    </a:prstGeom>
                    <a:noFill/>
                    <a:ln>
                      <a:noFill/>
                    </a:ln>
                  </pic:spPr>
                </pic:pic>
              </a:graphicData>
            </a:graphic>
          </wp:inline>
        </w:drawing>
      </w:r>
    </w:p>
    <w:p w:rsidR="00B84276" w:rsidRDefault="00281ABD" w:rsidP="00EE7CF6">
      <w:pPr>
        <w:jc w:val="both"/>
        <w:rPr>
          <w:rFonts w:ascii="Arial" w:hAnsi="Arial" w:cs="Arial"/>
          <w:sz w:val="20"/>
          <w:szCs w:val="20"/>
        </w:rPr>
      </w:pPr>
      <w:r>
        <w:rPr>
          <w:rFonts w:ascii="Arial" w:hAnsi="Arial" w:cs="Arial"/>
          <w:sz w:val="20"/>
          <w:szCs w:val="20"/>
        </w:rPr>
        <w:t xml:space="preserve">As evidenced in the </w:t>
      </w:r>
      <w:r w:rsidR="00B84276">
        <w:rPr>
          <w:rFonts w:ascii="Arial" w:hAnsi="Arial" w:cs="Arial"/>
          <w:sz w:val="20"/>
          <w:szCs w:val="20"/>
        </w:rPr>
        <w:t xml:space="preserve">above table, </w:t>
      </w:r>
      <w:r w:rsidR="00D84465">
        <w:rPr>
          <w:rFonts w:ascii="Arial" w:hAnsi="Arial" w:cs="Arial"/>
          <w:sz w:val="20"/>
          <w:szCs w:val="20"/>
        </w:rPr>
        <w:t>with the equal weighting scheme</w:t>
      </w:r>
      <w:r>
        <w:rPr>
          <w:rFonts w:ascii="Arial" w:hAnsi="Arial" w:cs="Arial"/>
          <w:sz w:val="20"/>
          <w:szCs w:val="20"/>
        </w:rPr>
        <w:t>,</w:t>
      </w:r>
      <w:r w:rsidR="00D84465">
        <w:rPr>
          <w:rFonts w:ascii="Arial" w:hAnsi="Arial" w:cs="Arial"/>
          <w:sz w:val="20"/>
          <w:szCs w:val="20"/>
        </w:rPr>
        <w:t xml:space="preserve"> </w:t>
      </w:r>
      <w:r w:rsidR="00B84276">
        <w:rPr>
          <w:rFonts w:ascii="Arial" w:hAnsi="Arial" w:cs="Arial"/>
          <w:sz w:val="20"/>
          <w:szCs w:val="20"/>
        </w:rPr>
        <w:t xml:space="preserve">not only the </w:t>
      </w:r>
      <w:r w:rsidR="00D84465">
        <w:rPr>
          <w:rFonts w:ascii="Arial" w:hAnsi="Arial" w:cs="Arial"/>
          <w:sz w:val="20"/>
          <w:szCs w:val="20"/>
        </w:rPr>
        <w:t xml:space="preserve">annual </w:t>
      </w:r>
      <w:r w:rsidR="00B84276">
        <w:rPr>
          <w:rFonts w:ascii="Arial" w:hAnsi="Arial" w:cs="Arial"/>
          <w:sz w:val="20"/>
          <w:szCs w:val="20"/>
        </w:rPr>
        <w:t xml:space="preserve">returns improved but </w:t>
      </w:r>
      <w:r>
        <w:rPr>
          <w:rFonts w:ascii="Arial" w:hAnsi="Arial" w:cs="Arial"/>
          <w:sz w:val="20"/>
          <w:szCs w:val="20"/>
        </w:rPr>
        <w:t xml:space="preserve">returns </w:t>
      </w:r>
      <w:r w:rsidR="00B84276">
        <w:rPr>
          <w:rFonts w:ascii="Arial" w:hAnsi="Arial" w:cs="Arial"/>
          <w:sz w:val="20"/>
          <w:szCs w:val="20"/>
        </w:rPr>
        <w:t xml:space="preserve">also </w:t>
      </w:r>
      <w:r>
        <w:rPr>
          <w:rFonts w:ascii="Arial" w:hAnsi="Arial" w:cs="Arial"/>
          <w:sz w:val="20"/>
          <w:szCs w:val="20"/>
        </w:rPr>
        <w:t xml:space="preserve">became </w:t>
      </w:r>
      <w:r w:rsidR="00B84276">
        <w:rPr>
          <w:rFonts w:ascii="Arial" w:hAnsi="Arial" w:cs="Arial"/>
          <w:sz w:val="20"/>
          <w:szCs w:val="20"/>
        </w:rPr>
        <w:t xml:space="preserve">consistent across different metrics </w:t>
      </w:r>
      <w:r w:rsidR="00D84465">
        <w:rPr>
          <w:rFonts w:ascii="Arial" w:hAnsi="Arial" w:cs="Arial"/>
          <w:sz w:val="20"/>
          <w:szCs w:val="20"/>
        </w:rPr>
        <w:t>as well as</w:t>
      </w:r>
      <w:r w:rsidR="00B84276">
        <w:rPr>
          <w:rFonts w:ascii="Arial" w:hAnsi="Arial" w:cs="Arial"/>
          <w:sz w:val="20"/>
          <w:szCs w:val="20"/>
        </w:rPr>
        <w:t xml:space="preserve"> </w:t>
      </w:r>
      <w:r w:rsidR="00D84465">
        <w:rPr>
          <w:rFonts w:ascii="Arial" w:hAnsi="Arial" w:cs="Arial"/>
          <w:sz w:val="20"/>
          <w:szCs w:val="20"/>
        </w:rPr>
        <w:t>we can see improvement</w:t>
      </w:r>
      <w:r w:rsidR="00B84276">
        <w:rPr>
          <w:rFonts w:ascii="Arial" w:hAnsi="Arial" w:cs="Arial"/>
          <w:sz w:val="20"/>
          <w:szCs w:val="20"/>
        </w:rPr>
        <w:t xml:space="preserve"> on risk adjusted </w:t>
      </w:r>
      <w:r w:rsidR="00D84465">
        <w:rPr>
          <w:rFonts w:ascii="Arial" w:hAnsi="Arial" w:cs="Arial"/>
          <w:sz w:val="20"/>
          <w:szCs w:val="20"/>
        </w:rPr>
        <w:t>basis</w:t>
      </w:r>
      <w:r w:rsidR="00B84276">
        <w:rPr>
          <w:rFonts w:ascii="Arial" w:hAnsi="Arial" w:cs="Arial"/>
          <w:sz w:val="20"/>
          <w:szCs w:val="20"/>
        </w:rPr>
        <w:t xml:space="preserve"> as well. </w:t>
      </w:r>
    </w:p>
    <w:p w:rsidR="00D84465" w:rsidRDefault="00D84465" w:rsidP="00EE7CF6">
      <w:pPr>
        <w:jc w:val="both"/>
        <w:rPr>
          <w:rFonts w:ascii="Arial" w:hAnsi="Arial" w:cs="Arial"/>
          <w:sz w:val="20"/>
          <w:szCs w:val="20"/>
        </w:rPr>
      </w:pPr>
    </w:p>
    <w:p w:rsidR="00281ABD" w:rsidRPr="00105101" w:rsidRDefault="00C86122" w:rsidP="00EE7CF6">
      <w:pPr>
        <w:jc w:val="both"/>
        <w:rPr>
          <w:rFonts w:ascii="Arial" w:hAnsi="Arial" w:cs="Arial"/>
          <w:b/>
          <w:sz w:val="24"/>
          <w:szCs w:val="24"/>
        </w:rPr>
      </w:pPr>
      <w:r w:rsidRPr="00105101">
        <w:rPr>
          <w:rFonts w:ascii="Arial" w:hAnsi="Arial" w:cs="Arial"/>
          <w:b/>
          <w:sz w:val="24"/>
          <w:szCs w:val="24"/>
        </w:rPr>
        <w:t>Data Bias Exploration</w:t>
      </w:r>
    </w:p>
    <w:p w:rsidR="00281ABD" w:rsidRDefault="00281ABD" w:rsidP="00EE7CF6">
      <w:pPr>
        <w:jc w:val="both"/>
        <w:rPr>
          <w:rFonts w:ascii="Arial" w:hAnsi="Arial" w:cs="Arial"/>
          <w:sz w:val="20"/>
          <w:szCs w:val="20"/>
        </w:rPr>
      </w:pPr>
      <w:r>
        <w:rPr>
          <w:rFonts w:ascii="Arial" w:hAnsi="Arial" w:cs="Arial"/>
          <w:sz w:val="20"/>
          <w:szCs w:val="20"/>
        </w:rPr>
        <w:t xml:space="preserve">Simple factor models have persistent biases that may not be immediately apparent. While building a factor portfolio, the researcher may be unintentionally focusing on certain industries and gaining exposure to other risk factors if the models aren’t properly adjusted. For Ex: </w:t>
      </w:r>
      <w:r w:rsidR="00F04513">
        <w:rPr>
          <w:rFonts w:ascii="Arial" w:hAnsi="Arial" w:cs="Arial"/>
          <w:sz w:val="20"/>
          <w:szCs w:val="20"/>
        </w:rPr>
        <w:t>TMT and Healthcare tend to have higher P/E ratios as compared to Materials and Industrials counterpart. When using an unadjusted value metrics, a portfolio would be concentrated in historically higher value metrics industries. This is why we see a higher risk adjusted returns for the industry adjusted value metrics</w:t>
      </w:r>
      <w:r w:rsidR="00C86122">
        <w:rPr>
          <w:rFonts w:ascii="Arial" w:hAnsi="Arial" w:cs="Arial"/>
          <w:sz w:val="20"/>
          <w:szCs w:val="20"/>
        </w:rPr>
        <w:t xml:space="preserve"> as highlighted in the below table</w:t>
      </w:r>
      <w:r w:rsidR="00F04513">
        <w:rPr>
          <w:rFonts w:ascii="Arial" w:hAnsi="Arial" w:cs="Arial"/>
          <w:sz w:val="20"/>
          <w:szCs w:val="20"/>
        </w:rPr>
        <w:t>.</w:t>
      </w:r>
    </w:p>
    <w:p w:rsidR="00F04513" w:rsidRDefault="00C86122" w:rsidP="00EE7CF6">
      <w:pPr>
        <w:jc w:val="both"/>
        <w:rPr>
          <w:rFonts w:ascii="Arial" w:hAnsi="Arial" w:cs="Arial"/>
          <w:sz w:val="20"/>
          <w:szCs w:val="20"/>
        </w:rPr>
      </w:pPr>
      <w:r w:rsidRPr="00C86122">
        <w:rPr>
          <w:noProof/>
        </w:rPr>
        <w:drawing>
          <wp:inline distT="0" distB="0" distL="0" distR="0">
            <wp:extent cx="7162835" cy="104957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72181" cy="1065595"/>
                    </a:xfrm>
                    <a:prstGeom prst="rect">
                      <a:avLst/>
                    </a:prstGeom>
                    <a:noFill/>
                    <a:ln>
                      <a:noFill/>
                    </a:ln>
                  </pic:spPr>
                </pic:pic>
              </a:graphicData>
            </a:graphic>
          </wp:inline>
        </w:drawing>
      </w:r>
    </w:p>
    <w:p w:rsidR="00C86122" w:rsidRDefault="00C86122" w:rsidP="00EE7CF6">
      <w:pPr>
        <w:jc w:val="both"/>
        <w:rPr>
          <w:rFonts w:ascii="Arial" w:hAnsi="Arial" w:cs="Arial"/>
          <w:sz w:val="20"/>
          <w:szCs w:val="20"/>
        </w:rPr>
      </w:pPr>
    </w:p>
    <w:p w:rsidR="00281ABD" w:rsidRDefault="00C86122" w:rsidP="00EE7CF6">
      <w:pPr>
        <w:jc w:val="both"/>
        <w:rPr>
          <w:rFonts w:ascii="Arial" w:hAnsi="Arial" w:cs="Arial"/>
          <w:sz w:val="20"/>
          <w:szCs w:val="20"/>
        </w:rPr>
      </w:pPr>
      <w:r>
        <w:rPr>
          <w:rFonts w:ascii="Arial" w:hAnsi="Arial" w:cs="Arial"/>
          <w:sz w:val="20"/>
          <w:szCs w:val="20"/>
        </w:rPr>
        <w:t>Similarly</w:t>
      </w:r>
      <w:r w:rsidR="00E06820">
        <w:rPr>
          <w:rFonts w:ascii="Arial" w:hAnsi="Arial" w:cs="Arial"/>
          <w:sz w:val="20"/>
          <w:szCs w:val="20"/>
        </w:rPr>
        <w:t>, the different value metrics mentioned above in the table tends to exhibit different biases in building the portfolio. For example</w:t>
      </w:r>
    </w:p>
    <w:p w:rsidR="00E06820" w:rsidRDefault="00E06820" w:rsidP="00E06820">
      <w:pPr>
        <w:pStyle w:val="ListParagraph"/>
        <w:numPr>
          <w:ilvl w:val="0"/>
          <w:numId w:val="5"/>
        </w:numPr>
        <w:jc w:val="both"/>
        <w:rPr>
          <w:rFonts w:ascii="Arial" w:hAnsi="Arial" w:cs="Arial"/>
          <w:sz w:val="20"/>
          <w:szCs w:val="20"/>
        </w:rPr>
      </w:pPr>
      <w:r>
        <w:rPr>
          <w:rFonts w:ascii="Arial" w:hAnsi="Arial" w:cs="Arial"/>
          <w:sz w:val="20"/>
          <w:szCs w:val="20"/>
        </w:rPr>
        <w:lastRenderedPageBreak/>
        <w:t>High B/P ratio sometimes leads to selection of Junk companies</w:t>
      </w:r>
    </w:p>
    <w:p w:rsidR="00E06820" w:rsidRDefault="00E06820" w:rsidP="00E06820">
      <w:pPr>
        <w:pStyle w:val="ListParagraph"/>
        <w:numPr>
          <w:ilvl w:val="0"/>
          <w:numId w:val="5"/>
        </w:numPr>
        <w:jc w:val="both"/>
        <w:rPr>
          <w:rFonts w:ascii="Arial" w:hAnsi="Arial" w:cs="Arial"/>
          <w:sz w:val="20"/>
          <w:szCs w:val="20"/>
        </w:rPr>
      </w:pPr>
      <w:r>
        <w:rPr>
          <w:rFonts w:ascii="Arial" w:hAnsi="Arial" w:cs="Arial"/>
          <w:sz w:val="20"/>
          <w:szCs w:val="20"/>
        </w:rPr>
        <w:t>High E/P ratio leads to selection of cyclical stocks</w:t>
      </w:r>
    </w:p>
    <w:p w:rsidR="00F17599" w:rsidRPr="00F17599" w:rsidRDefault="00F17599" w:rsidP="00F17599">
      <w:pPr>
        <w:pStyle w:val="ListParagraph"/>
        <w:numPr>
          <w:ilvl w:val="0"/>
          <w:numId w:val="5"/>
        </w:numPr>
        <w:jc w:val="both"/>
        <w:rPr>
          <w:rFonts w:ascii="Arial" w:hAnsi="Arial" w:cs="Arial"/>
          <w:sz w:val="20"/>
          <w:szCs w:val="20"/>
        </w:rPr>
      </w:pPr>
      <w:r>
        <w:rPr>
          <w:rFonts w:ascii="Arial" w:hAnsi="Arial" w:cs="Arial"/>
          <w:sz w:val="20"/>
          <w:szCs w:val="20"/>
        </w:rPr>
        <w:t>High S/P ratio sometimes leads to selection of low margin stocks</w:t>
      </w:r>
    </w:p>
    <w:p w:rsidR="00E06820" w:rsidRDefault="00E06820" w:rsidP="00E06820">
      <w:pPr>
        <w:pStyle w:val="ListParagraph"/>
        <w:numPr>
          <w:ilvl w:val="0"/>
          <w:numId w:val="5"/>
        </w:numPr>
        <w:jc w:val="both"/>
        <w:rPr>
          <w:rFonts w:ascii="Arial" w:hAnsi="Arial" w:cs="Arial"/>
          <w:sz w:val="20"/>
          <w:szCs w:val="20"/>
        </w:rPr>
      </w:pPr>
      <w:r>
        <w:rPr>
          <w:rFonts w:ascii="Arial" w:hAnsi="Arial" w:cs="Arial"/>
          <w:sz w:val="20"/>
          <w:szCs w:val="20"/>
        </w:rPr>
        <w:t>High CF/P leads to under selection of industries where cash flow</w:t>
      </w:r>
      <w:r w:rsidR="00881E13">
        <w:rPr>
          <w:rFonts w:ascii="Arial" w:hAnsi="Arial" w:cs="Arial"/>
          <w:sz w:val="20"/>
          <w:szCs w:val="20"/>
        </w:rPr>
        <w:t>s</w:t>
      </w:r>
      <w:r>
        <w:rPr>
          <w:rFonts w:ascii="Arial" w:hAnsi="Arial" w:cs="Arial"/>
          <w:sz w:val="20"/>
          <w:szCs w:val="20"/>
        </w:rPr>
        <w:t xml:space="preserve"> </w:t>
      </w:r>
      <w:r w:rsidR="00910539">
        <w:rPr>
          <w:rFonts w:ascii="Arial" w:hAnsi="Arial" w:cs="Arial"/>
          <w:sz w:val="20"/>
          <w:szCs w:val="20"/>
        </w:rPr>
        <w:t>are low such as Financial sector</w:t>
      </w:r>
    </w:p>
    <w:p w:rsidR="00910539" w:rsidRDefault="00910539" w:rsidP="00910539">
      <w:pPr>
        <w:jc w:val="both"/>
        <w:rPr>
          <w:rFonts w:ascii="Arial" w:hAnsi="Arial" w:cs="Arial"/>
          <w:sz w:val="20"/>
          <w:szCs w:val="20"/>
        </w:rPr>
      </w:pPr>
      <w:r>
        <w:rPr>
          <w:rFonts w:ascii="Arial" w:hAnsi="Arial" w:cs="Arial"/>
          <w:sz w:val="20"/>
          <w:szCs w:val="20"/>
        </w:rPr>
        <w:t>Here I have created a combined value signal that is equal weighted measure of all the above value metrics shown in the tables above.</w:t>
      </w:r>
      <w:r w:rsidR="00881E13">
        <w:rPr>
          <w:rFonts w:ascii="Arial" w:hAnsi="Arial" w:cs="Arial"/>
          <w:sz w:val="20"/>
          <w:szCs w:val="20"/>
        </w:rPr>
        <w:t xml:space="preserve"> (1999-2018)</w:t>
      </w:r>
    </w:p>
    <w:p w:rsidR="00910539" w:rsidRDefault="00910539" w:rsidP="00910539">
      <w:pPr>
        <w:jc w:val="both"/>
        <w:rPr>
          <w:rFonts w:ascii="Arial" w:hAnsi="Arial" w:cs="Arial"/>
          <w:sz w:val="20"/>
          <w:szCs w:val="20"/>
        </w:rPr>
      </w:pPr>
      <w:r w:rsidRPr="00910539">
        <w:rPr>
          <w:noProof/>
        </w:rPr>
        <w:drawing>
          <wp:inline distT="0" distB="0" distL="0" distR="0">
            <wp:extent cx="7140178" cy="858741"/>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54252" cy="872461"/>
                    </a:xfrm>
                    <a:prstGeom prst="rect">
                      <a:avLst/>
                    </a:prstGeom>
                    <a:noFill/>
                    <a:ln>
                      <a:noFill/>
                    </a:ln>
                  </pic:spPr>
                </pic:pic>
              </a:graphicData>
            </a:graphic>
          </wp:inline>
        </w:drawing>
      </w:r>
    </w:p>
    <w:p w:rsidR="00135D8A" w:rsidRDefault="00135D8A" w:rsidP="00E774B7">
      <w:pPr>
        <w:jc w:val="both"/>
        <w:rPr>
          <w:rFonts w:ascii="Arial" w:hAnsi="Arial" w:cs="Arial"/>
          <w:b/>
          <w:i/>
          <w:sz w:val="20"/>
          <w:szCs w:val="20"/>
        </w:rPr>
      </w:pPr>
    </w:p>
    <w:p w:rsidR="00E774B7" w:rsidRPr="00135D8A" w:rsidRDefault="00E774B7" w:rsidP="00E774B7">
      <w:pPr>
        <w:jc w:val="both"/>
        <w:rPr>
          <w:rFonts w:ascii="Arial" w:hAnsi="Arial" w:cs="Arial"/>
          <w:b/>
          <w:i/>
          <w:sz w:val="20"/>
          <w:szCs w:val="20"/>
        </w:rPr>
      </w:pPr>
      <w:r w:rsidRPr="00135D8A">
        <w:rPr>
          <w:rFonts w:ascii="Arial" w:hAnsi="Arial" w:cs="Arial"/>
          <w:b/>
          <w:i/>
          <w:sz w:val="20"/>
          <w:szCs w:val="20"/>
        </w:rPr>
        <w:t>Monthly Return Spread Consistency (vs MSCI Barra Equal Weighted Index as Benchmark)</w:t>
      </w:r>
    </w:p>
    <w:p w:rsidR="00E774B7" w:rsidRPr="00C9551A" w:rsidRDefault="00E774B7" w:rsidP="00E774B7">
      <w:pPr>
        <w:jc w:val="both"/>
        <w:rPr>
          <w:rFonts w:ascii="Arial" w:hAnsi="Arial" w:cs="Arial"/>
          <w:b/>
          <w:sz w:val="20"/>
          <w:szCs w:val="20"/>
        </w:rPr>
      </w:pPr>
      <w:r w:rsidRPr="00105101">
        <w:rPr>
          <w:noProof/>
        </w:rPr>
        <w:drawing>
          <wp:inline distT="0" distB="0" distL="0" distR="0" wp14:anchorId="79393DC0" wp14:editId="2402E79D">
            <wp:extent cx="7096730" cy="2146852"/>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02222" cy="2148513"/>
                    </a:xfrm>
                    <a:prstGeom prst="rect">
                      <a:avLst/>
                    </a:prstGeom>
                    <a:noFill/>
                    <a:ln>
                      <a:noFill/>
                    </a:ln>
                  </pic:spPr>
                </pic:pic>
              </a:graphicData>
            </a:graphic>
          </wp:inline>
        </w:drawing>
      </w:r>
    </w:p>
    <w:p w:rsidR="00910539" w:rsidRDefault="00910539" w:rsidP="00910539">
      <w:pPr>
        <w:jc w:val="both"/>
        <w:rPr>
          <w:rFonts w:ascii="Arial" w:hAnsi="Arial" w:cs="Arial"/>
          <w:sz w:val="20"/>
          <w:szCs w:val="20"/>
        </w:rPr>
      </w:pPr>
    </w:p>
    <w:p w:rsidR="00D84465" w:rsidRDefault="00313B14" w:rsidP="00EE7CF6">
      <w:pPr>
        <w:jc w:val="both"/>
        <w:rPr>
          <w:rFonts w:ascii="Arial" w:hAnsi="Arial" w:cs="Arial"/>
          <w:i/>
          <w:sz w:val="16"/>
          <w:szCs w:val="16"/>
        </w:rPr>
      </w:pPr>
      <w:r w:rsidRPr="00105101">
        <w:rPr>
          <w:rFonts w:ascii="Arial" w:hAnsi="Arial" w:cs="Arial"/>
          <w:b/>
          <w:sz w:val="24"/>
          <w:szCs w:val="24"/>
        </w:rPr>
        <w:t xml:space="preserve">Value Portfolio – Characteristics </w:t>
      </w:r>
      <w:r w:rsidRPr="00105101">
        <w:rPr>
          <w:rFonts w:ascii="Arial" w:hAnsi="Arial" w:cs="Arial"/>
          <w:sz w:val="16"/>
          <w:szCs w:val="16"/>
        </w:rPr>
        <w:t>(</w:t>
      </w:r>
      <w:r w:rsidRPr="00105101">
        <w:rPr>
          <w:rFonts w:ascii="Arial" w:hAnsi="Arial" w:cs="Arial"/>
          <w:i/>
          <w:sz w:val="16"/>
          <w:szCs w:val="16"/>
        </w:rPr>
        <w:t>Equal weighted industry adjusted combined value metric)</w:t>
      </w:r>
    </w:p>
    <w:p w:rsidR="00B56A84" w:rsidRPr="00B56A84" w:rsidRDefault="00105101" w:rsidP="00105101">
      <w:pPr>
        <w:jc w:val="both"/>
        <w:rPr>
          <w:rFonts w:ascii="Arial" w:hAnsi="Arial" w:cs="Arial"/>
          <w:i/>
          <w:sz w:val="20"/>
          <w:szCs w:val="20"/>
        </w:rPr>
      </w:pPr>
      <w:r w:rsidRPr="00B56A84">
        <w:rPr>
          <w:rFonts w:ascii="Arial" w:hAnsi="Arial" w:cs="Arial"/>
          <w:i/>
          <w:sz w:val="20"/>
          <w:szCs w:val="20"/>
        </w:rPr>
        <w:t xml:space="preserve">Volatility Profile </w:t>
      </w:r>
    </w:p>
    <w:p w:rsidR="00105101" w:rsidRDefault="00B56A84" w:rsidP="00105101">
      <w:pPr>
        <w:jc w:val="both"/>
        <w:rPr>
          <w:rFonts w:ascii="Arial" w:hAnsi="Arial" w:cs="Arial"/>
          <w:sz w:val="20"/>
          <w:szCs w:val="20"/>
        </w:rPr>
      </w:pPr>
      <w:r>
        <w:rPr>
          <w:rFonts w:ascii="Arial" w:hAnsi="Arial" w:cs="Arial"/>
          <w:sz w:val="20"/>
          <w:szCs w:val="20"/>
        </w:rPr>
        <w:t xml:space="preserve">Below chart shows, that one of the possible driver of returns for value portfolio is in its inherent tendency to have more volatility and hence more required return. </w:t>
      </w:r>
    </w:p>
    <w:p w:rsidR="00105101" w:rsidRDefault="00105101" w:rsidP="00EE7CF6">
      <w:pPr>
        <w:jc w:val="both"/>
        <w:rPr>
          <w:rFonts w:ascii="Arial" w:hAnsi="Arial" w:cs="Arial"/>
          <w:sz w:val="20"/>
          <w:szCs w:val="20"/>
        </w:rPr>
      </w:pPr>
      <w:r w:rsidRPr="00105101">
        <w:rPr>
          <w:noProof/>
        </w:rPr>
        <w:drawing>
          <wp:inline distT="0" distB="0" distL="0" distR="0">
            <wp:extent cx="4253865" cy="25603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3865" cy="2560320"/>
                    </a:xfrm>
                    <a:prstGeom prst="rect">
                      <a:avLst/>
                    </a:prstGeom>
                    <a:noFill/>
                    <a:ln>
                      <a:noFill/>
                    </a:ln>
                  </pic:spPr>
                </pic:pic>
              </a:graphicData>
            </a:graphic>
          </wp:inline>
        </w:drawing>
      </w:r>
    </w:p>
    <w:p w:rsidR="00E774B7" w:rsidRDefault="00E774B7" w:rsidP="00EE7CF6">
      <w:pPr>
        <w:jc w:val="both"/>
        <w:rPr>
          <w:rFonts w:ascii="Arial" w:hAnsi="Arial" w:cs="Arial"/>
          <w:sz w:val="20"/>
          <w:szCs w:val="20"/>
        </w:rPr>
      </w:pPr>
      <w:r>
        <w:rPr>
          <w:rFonts w:ascii="Arial" w:hAnsi="Arial" w:cs="Arial"/>
          <w:sz w:val="20"/>
          <w:szCs w:val="20"/>
        </w:rPr>
        <w:lastRenderedPageBreak/>
        <w:t xml:space="preserve">This is also affirmed by the fact that when you look at the beta for </w:t>
      </w:r>
      <w:r w:rsidR="001A4F08">
        <w:rPr>
          <w:rFonts w:ascii="Arial" w:hAnsi="Arial" w:cs="Arial"/>
          <w:sz w:val="20"/>
          <w:szCs w:val="20"/>
        </w:rPr>
        <w:t>value</w:t>
      </w:r>
      <w:r>
        <w:rPr>
          <w:rFonts w:ascii="Arial" w:hAnsi="Arial" w:cs="Arial"/>
          <w:sz w:val="20"/>
          <w:szCs w:val="20"/>
        </w:rPr>
        <w:t xml:space="preserve"> portfolio</w:t>
      </w:r>
      <w:r w:rsidR="001A4F08">
        <w:rPr>
          <w:rFonts w:ascii="Arial" w:hAnsi="Arial" w:cs="Arial"/>
          <w:sz w:val="20"/>
          <w:szCs w:val="20"/>
        </w:rPr>
        <w:t xml:space="preserve"> (Benc</w:t>
      </w:r>
      <w:r w:rsidR="001743DF">
        <w:rPr>
          <w:rFonts w:ascii="Arial" w:hAnsi="Arial" w:cs="Arial"/>
          <w:sz w:val="20"/>
          <w:szCs w:val="20"/>
        </w:rPr>
        <w:t>h</w:t>
      </w:r>
      <w:r w:rsidR="001A4F08">
        <w:rPr>
          <w:rFonts w:ascii="Arial" w:hAnsi="Arial" w:cs="Arial"/>
          <w:sz w:val="20"/>
          <w:szCs w:val="20"/>
        </w:rPr>
        <w:t>mark = MSCI Barra Equal Weighted Index)</w:t>
      </w:r>
      <w:r>
        <w:rPr>
          <w:rFonts w:ascii="Arial" w:hAnsi="Arial" w:cs="Arial"/>
          <w:sz w:val="20"/>
          <w:szCs w:val="20"/>
        </w:rPr>
        <w:t xml:space="preserve"> on a forecasted basis</w:t>
      </w:r>
      <w:r w:rsidR="001A4F08">
        <w:rPr>
          <w:rFonts w:ascii="Arial" w:hAnsi="Arial" w:cs="Arial"/>
          <w:sz w:val="20"/>
          <w:szCs w:val="20"/>
        </w:rPr>
        <w:t xml:space="preserve"> (ex-ante)</w:t>
      </w:r>
      <w:r>
        <w:rPr>
          <w:rFonts w:ascii="Arial" w:hAnsi="Arial" w:cs="Arial"/>
          <w:sz w:val="20"/>
          <w:szCs w:val="20"/>
        </w:rPr>
        <w:t xml:space="preserve"> using </w:t>
      </w:r>
      <w:r w:rsidR="001A4F08">
        <w:rPr>
          <w:rFonts w:ascii="Arial" w:hAnsi="Arial" w:cs="Arial"/>
          <w:sz w:val="20"/>
          <w:szCs w:val="20"/>
        </w:rPr>
        <w:t xml:space="preserve">Bloomberg factor </w:t>
      </w:r>
      <w:r w:rsidR="00156716">
        <w:rPr>
          <w:rFonts w:ascii="Arial" w:hAnsi="Arial" w:cs="Arial"/>
          <w:sz w:val="20"/>
          <w:szCs w:val="20"/>
        </w:rPr>
        <w:t xml:space="preserve">risk model, you could see that there is a consistent positive beta exposure </w:t>
      </w:r>
      <w:r w:rsidR="002F3431">
        <w:rPr>
          <w:rFonts w:ascii="Arial" w:hAnsi="Arial" w:cs="Arial"/>
          <w:sz w:val="20"/>
          <w:szCs w:val="20"/>
        </w:rPr>
        <w:t xml:space="preserve">bias </w:t>
      </w:r>
      <w:r w:rsidR="00156716">
        <w:rPr>
          <w:rFonts w:ascii="Arial" w:hAnsi="Arial" w:cs="Arial"/>
          <w:sz w:val="20"/>
          <w:szCs w:val="20"/>
        </w:rPr>
        <w:t xml:space="preserve">which could </w:t>
      </w:r>
      <w:r w:rsidR="00FF23D4">
        <w:rPr>
          <w:rFonts w:ascii="Arial" w:hAnsi="Arial" w:cs="Arial"/>
          <w:sz w:val="20"/>
          <w:szCs w:val="20"/>
        </w:rPr>
        <w:t>also explain some of the returns</w:t>
      </w:r>
      <w:r w:rsidR="00782C2E">
        <w:rPr>
          <w:rFonts w:ascii="Arial" w:hAnsi="Arial" w:cs="Arial"/>
          <w:sz w:val="20"/>
          <w:szCs w:val="20"/>
        </w:rPr>
        <w:t xml:space="preserve"> and high volatility</w:t>
      </w:r>
      <w:r w:rsidR="00156716">
        <w:rPr>
          <w:rFonts w:ascii="Arial" w:hAnsi="Arial" w:cs="Arial"/>
          <w:sz w:val="20"/>
          <w:szCs w:val="20"/>
        </w:rPr>
        <w:t>.</w:t>
      </w:r>
    </w:p>
    <w:p w:rsidR="001743DF" w:rsidRPr="00782C2E" w:rsidRDefault="001743DF" w:rsidP="00EE7CF6">
      <w:pPr>
        <w:jc w:val="both"/>
        <w:rPr>
          <w:rFonts w:ascii="Arial" w:hAnsi="Arial" w:cs="Arial"/>
          <w:b/>
          <w:i/>
          <w:sz w:val="16"/>
          <w:szCs w:val="16"/>
        </w:rPr>
      </w:pPr>
      <w:r w:rsidRPr="00782C2E">
        <w:rPr>
          <w:rFonts w:ascii="Arial" w:hAnsi="Arial" w:cs="Arial"/>
          <w:b/>
          <w:i/>
          <w:sz w:val="16"/>
          <w:szCs w:val="16"/>
        </w:rPr>
        <w:t>Bloomberg US Equity Model predicted beta of equal weighted industry neutral combined value</w:t>
      </w:r>
      <w:r w:rsidR="00782C2E" w:rsidRPr="00782C2E">
        <w:rPr>
          <w:rFonts w:ascii="Arial" w:hAnsi="Arial" w:cs="Arial"/>
          <w:b/>
          <w:i/>
          <w:sz w:val="16"/>
          <w:szCs w:val="16"/>
        </w:rPr>
        <w:t xml:space="preserve"> </w:t>
      </w:r>
    </w:p>
    <w:p w:rsidR="001743DF" w:rsidRDefault="001743DF" w:rsidP="00EE7CF6">
      <w:pPr>
        <w:jc w:val="both"/>
        <w:rPr>
          <w:rFonts w:ascii="Arial" w:hAnsi="Arial" w:cs="Arial"/>
          <w:sz w:val="20"/>
          <w:szCs w:val="20"/>
        </w:rPr>
      </w:pPr>
      <w:r w:rsidRPr="001743DF">
        <w:rPr>
          <w:noProof/>
        </w:rPr>
        <w:drawing>
          <wp:inline distT="0" distB="0" distL="0" distR="0">
            <wp:extent cx="4293870" cy="26238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3870" cy="2623820"/>
                    </a:xfrm>
                    <a:prstGeom prst="rect">
                      <a:avLst/>
                    </a:prstGeom>
                    <a:noFill/>
                    <a:ln>
                      <a:noFill/>
                    </a:ln>
                  </pic:spPr>
                </pic:pic>
              </a:graphicData>
            </a:graphic>
          </wp:inline>
        </w:drawing>
      </w:r>
    </w:p>
    <w:p w:rsidR="00105101" w:rsidRDefault="00105101" w:rsidP="00EE7CF6">
      <w:pPr>
        <w:jc w:val="both"/>
        <w:rPr>
          <w:rFonts w:ascii="Arial" w:hAnsi="Arial" w:cs="Arial"/>
          <w:sz w:val="20"/>
          <w:szCs w:val="20"/>
        </w:rPr>
      </w:pPr>
    </w:p>
    <w:p w:rsidR="00B058E2" w:rsidRPr="00782C2E" w:rsidRDefault="00B058E2" w:rsidP="00B058E2">
      <w:pPr>
        <w:jc w:val="both"/>
        <w:rPr>
          <w:rFonts w:ascii="Arial" w:hAnsi="Arial" w:cs="Arial"/>
          <w:b/>
          <w:i/>
          <w:sz w:val="16"/>
          <w:szCs w:val="16"/>
        </w:rPr>
      </w:pPr>
      <w:r w:rsidRPr="00782C2E">
        <w:rPr>
          <w:rFonts w:ascii="Arial" w:hAnsi="Arial" w:cs="Arial"/>
          <w:b/>
          <w:i/>
          <w:sz w:val="20"/>
          <w:szCs w:val="20"/>
        </w:rPr>
        <w:t>Factor Exposure</w:t>
      </w:r>
      <w:r w:rsidRPr="00782C2E">
        <w:rPr>
          <w:rFonts w:ascii="Arial" w:hAnsi="Arial" w:cs="Arial"/>
          <w:b/>
          <w:sz w:val="20"/>
          <w:szCs w:val="20"/>
        </w:rPr>
        <w:t xml:space="preserve"> (</w:t>
      </w:r>
      <w:r w:rsidRPr="00782C2E">
        <w:rPr>
          <w:rFonts w:ascii="Arial" w:hAnsi="Arial" w:cs="Arial"/>
          <w:b/>
          <w:i/>
          <w:sz w:val="16"/>
          <w:szCs w:val="16"/>
        </w:rPr>
        <w:t xml:space="preserve">Bloomberg US Equity </w:t>
      </w:r>
      <w:r w:rsidR="001743DF" w:rsidRPr="00782C2E">
        <w:rPr>
          <w:rFonts w:ascii="Arial" w:hAnsi="Arial" w:cs="Arial"/>
          <w:b/>
          <w:i/>
          <w:sz w:val="16"/>
          <w:szCs w:val="16"/>
        </w:rPr>
        <w:t xml:space="preserve">risk factor </w:t>
      </w:r>
      <w:r w:rsidRPr="00782C2E">
        <w:rPr>
          <w:rFonts w:ascii="Arial" w:hAnsi="Arial" w:cs="Arial"/>
          <w:b/>
          <w:i/>
          <w:sz w:val="16"/>
          <w:szCs w:val="16"/>
        </w:rPr>
        <w:t>Model)</w:t>
      </w:r>
    </w:p>
    <w:p w:rsidR="001743DF" w:rsidRPr="00782C2E" w:rsidRDefault="00782C2E" w:rsidP="00B058E2">
      <w:pPr>
        <w:jc w:val="both"/>
        <w:rPr>
          <w:rFonts w:ascii="Arial" w:hAnsi="Arial" w:cs="Arial"/>
          <w:sz w:val="20"/>
          <w:szCs w:val="20"/>
        </w:rPr>
      </w:pPr>
      <w:r w:rsidRPr="00782C2E">
        <w:rPr>
          <w:rFonts w:ascii="Arial" w:hAnsi="Arial" w:cs="Arial"/>
          <w:sz w:val="20"/>
          <w:szCs w:val="20"/>
        </w:rPr>
        <w:t>Below char shows that the portfolio did have significant value exposure and very low exposure to growth factor as intended</w:t>
      </w:r>
    </w:p>
    <w:p w:rsidR="00B058E2" w:rsidRPr="00683718" w:rsidRDefault="00B058E2" w:rsidP="00B058E2">
      <w:pPr>
        <w:jc w:val="both"/>
        <w:rPr>
          <w:rFonts w:ascii="Arial" w:hAnsi="Arial" w:cs="Arial"/>
          <w:i/>
          <w:sz w:val="20"/>
          <w:szCs w:val="20"/>
        </w:rPr>
      </w:pPr>
      <w:r w:rsidRPr="00B058E2">
        <w:rPr>
          <w:noProof/>
        </w:rPr>
        <w:drawing>
          <wp:inline distT="0" distB="0" distL="0" distR="0">
            <wp:extent cx="6743700" cy="2067219"/>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43700" cy="2067219"/>
                    </a:xfrm>
                    <a:prstGeom prst="rect">
                      <a:avLst/>
                    </a:prstGeom>
                    <a:noFill/>
                    <a:ln>
                      <a:noFill/>
                    </a:ln>
                  </pic:spPr>
                </pic:pic>
              </a:graphicData>
            </a:graphic>
          </wp:inline>
        </w:drawing>
      </w:r>
    </w:p>
    <w:p w:rsidR="00782C2E" w:rsidRDefault="00782C2E" w:rsidP="00EE7CF6">
      <w:pPr>
        <w:jc w:val="both"/>
        <w:rPr>
          <w:rFonts w:ascii="Arial" w:hAnsi="Arial" w:cs="Arial"/>
          <w:sz w:val="20"/>
          <w:szCs w:val="20"/>
        </w:rPr>
      </w:pPr>
    </w:p>
    <w:p w:rsidR="00EE7CF6" w:rsidRDefault="00782C2E" w:rsidP="00EE7CF6">
      <w:pPr>
        <w:jc w:val="both"/>
        <w:rPr>
          <w:rFonts w:ascii="Arial" w:hAnsi="Arial" w:cs="Arial"/>
          <w:i/>
          <w:sz w:val="20"/>
          <w:szCs w:val="20"/>
        </w:rPr>
      </w:pPr>
      <w:r w:rsidRPr="00782C2E">
        <w:rPr>
          <w:rFonts w:ascii="Arial" w:hAnsi="Arial" w:cs="Arial"/>
          <w:i/>
          <w:sz w:val="20"/>
          <w:szCs w:val="20"/>
        </w:rPr>
        <w:t xml:space="preserve">Other Style Factor Exposure – A prospective case for factor diversification </w:t>
      </w:r>
    </w:p>
    <w:p w:rsidR="00622E5F" w:rsidRPr="00622E5F" w:rsidRDefault="00622E5F" w:rsidP="00EE7CF6">
      <w:pPr>
        <w:jc w:val="both"/>
        <w:rPr>
          <w:rFonts w:ascii="Arial" w:hAnsi="Arial" w:cs="Arial"/>
          <w:sz w:val="20"/>
          <w:szCs w:val="20"/>
        </w:rPr>
      </w:pPr>
      <w:r>
        <w:rPr>
          <w:rFonts w:ascii="Arial" w:hAnsi="Arial" w:cs="Arial"/>
          <w:sz w:val="20"/>
          <w:szCs w:val="20"/>
        </w:rPr>
        <w:t xml:space="preserve">From the below charts, we can clearly see that with single factor portfolio construction style, the portfolio incorporates some unintended exposure to other factors. For Ex, The portfolio has significant negative exposure to size, which could also be, enhancing from the weighting scheme incorporated here (apart from the fact that Value may be more prominent among small caps stocks), there by exposing to small cap stocks and in turn enhancing the returns. Similarly, we could see negative exposure to Profitability aka Quality as well some Momentum and Leverage. </w:t>
      </w:r>
    </w:p>
    <w:p w:rsidR="00782C2E" w:rsidRDefault="00782C2E" w:rsidP="00EE7CF6">
      <w:pPr>
        <w:jc w:val="both"/>
        <w:rPr>
          <w:rFonts w:ascii="Arial" w:hAnsi="Arial" w:cs="Arial"/>
          <w:sz w:val="20"/>
          <w:szCs w:val="20"/>
        </w:rPr>
      </w:pPr>
      <w:r w:rsidRPr="00782C2E">
        <w:rPr>
          <w:noProof/>
        </w:rPr>
        <w:lastRenderedPageBreak/>
        <w:drawing>
          <wp:inline distT="0" distB="0" distL="0" distR="0">
            <wp:extent cx="6743700" cy="4132128"/>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43700" cy="4132128"/>
                    </a:xfrm>
                    <a:prstGeom prst="rect">
                      <a:avLst/>
                    </a:prstGeom>
                    <a:noFill/>
                    <a:ln>
                      <a:noFill/>
                    </a:ln>
                  </pic:spPr>
                </pic:pic>
              </a:graphicData>
            </a:graphic>
          </wp:inline>
        </w:drawing>
      </w:r>
    </w:p>
    <w:p w:rsidR="00622E5F" w:rsidRDefault="00443F31" w:rsidP="00EE7CF6">
      <w:pPr>
        <w:jc w:val="both"/>
        <w:rPr>
          <w:rFonts w:ascii="Arial" w:hAnsi="Arial" w:cs="Arial"/>
          <w:sz w:val="20"/>
          <w:szCs w:val="20"/>
        </w:rPr>
      </w:pPr>
      <w:r>
        <w:rPr>
          <w:rFonts w:ascii="Arial" w:hAnsi="Arial" w:cs="Arial"/>
          <w:sz w:val="20"/>
          <w:szCs w:val="20"/>
        </w:rPr>
        <w:t xml:space="preserve">The above chart </w:t>
      </w:r>
      <w:r w:rsidR="00876371">
        <w:rPr>
          <w:rFonts w:ascii="Arial" w:hAnsi="Arial" w:cs="Arial"/>
          <w:sz w:val="20"/>
          <w:szCs w:val="20"/>
        </w:rPr>
        <w:t>shows that value factor portfolio has consistent negative exposure to Profitability and Volatility (also affirmed from the fact that predicted beta is positive and consistently higher than 1)</w:t>
      </w:r>
    </w:p>
    <w:p w:rsidR="00A16C8D" w:rsidRDefault="00A16C8D" w:rsidP="00622E5F">
      <w:pPr>
        <w:spacing w:line="240" w:lineRule="auto"/>
        <w:jc w:val="both"/>
        <w:rPr>
          <w:rFonts w:ascii="Arial" w:hAnsi="Arial" w:cs="Arial"/>
          <w:b/>
          <w:sz w:val="24"/>
          <w:szCs w:val="24"/>
        </w:rPr>
      </w:pPr>
    </w:p>
    <w:p w:rsidR="00622E5F" w:rsidRPr="00105101" w:rsidRDefault="00622E5F" w:rsidP="00622E5F">
      <w:pPr>
        <w:spacing w:line="240" w:lineRule="auto"/>
        <w:jc w:val="both"/>
        <w:rPr>
          <w:rFonts w:ascii="Arial" w:hAnsi="Arial" w:cs="Arial"/>
          <w:b/>
          <w:sz w:val="24"/>
          <w:szCs w:val="24"/>
        </w:rPr>
      </w:pPr>
      <w:r>
        <w:rPr>
          <w:rFonts w:ascii="Arial" w:hAnsi="Arial" w:cs="Arial"/>
          <w:b/>
          <w:sz w:val="24"/>
          <w:szCs w:val="24"/>
        </w:rPr>
        <w:t>Momentum</w:t>
      </w:r>
      <w:r w:rsidRPr="00105101">
        <w:rPr>
          <w:rFonts w:ascii="Arial" w:hAnsi="Arial" w:cs="Arial"/>
          <w:b/>
          <w:sz w:val="24"/>
          <w:szCs w:val="24"/>
        </w:rPr>
        <w:t xml:space="preserve"> Factor</w:t>
      </w:r>
    </w:p>
    <w:p w:rsidR="00622E5F" w:rsidRDefault="00A83ED8" w:rsidP="00622E5F">
      <w:pPr>
        <w:jc w:val="both"/>
        <w:rPr>
          <w:rFonts w:ascii="Arial" w:hAnsi="Arial" w:cs="Arial"/>
          <w:sz w:val="20"/>
          <w:szCs w:val="20"/>
        </w:rPr>
      </w:pPr>
      <w:r w:rsidRPr="00A83ED8">
        <w:rPr>
          <w:rFonts w:ascii="Arial" w:hAnsi="Arial" w:cs="Arial"/>
          <w:sz w:val="20"/>
          <w:szCs w:val="20"/>
        </w:rPr>
        <w:t>Resea</w:t>
      </w:r>
      <w:r>
        <w:rPr>
          <w:rFonts w:ascii="Arial" w:hAnsi="Arial" w:cs="Arial"/>
          <w:sz w:val="20"/>
          <w:szCs w:val="20"/>
        </w:rPr>
        <w:t xml:space="preserve">rchers have convincingly demonstrated that momentum strategies have power to predict stock returns. For instance, Jegadeesh and Titman (1993) showed that strategies that tend to buy winners and sell losers based on cross sectional returns over the previous 6-12 months generate excess returns. Asness (1995) have showed that these strategies are more effective when momentum definition exclude the most recent month returns. </w:t>
      </w:r>
    </w:p>
    <w:p w:rsidR="00A83ED8" w:rsidRDefault="00A83ED8" w:rsidP="00622E5F">
      <w:pPr>
        <w:jc w:val="both"/>
        <w:rPr>
          <w:rFonts w:ascii="Arial" w:hAnsi="Arial" w:cs="Arial"/>
          <w:sz w:val="20"/>
          <w:szCs w:val="20"/>
        </w:rPr>
      </w:pPr>
      <w:r>
        <w:rPr>
          <w:rFonts w:ascii="Arial" w:hAnsi="Arial" w:cs="Arial"/>
          <w:sz w:val="20"/>
          <w:szCs w:val="20"/>
        </w:rPr>
        <w:t>Using the definition of momentum as last 12 month return ex most recent month returns</w:t>
      </w:r>
      <w:r w:rsidR="00E108E3">
        <w:rPr>
          <w:rFonts w:ascii="Arial" w:hAnsi="Arial" w:cs="Arial"/>
          <w:sz w:val="20"/>
          <w:szCs w:val="20"/>
        </w:rPr>
        <w:t xml:space="preserve"> (1999-2018)</w:t>
      </w:r>
      <w:r>
        <w:rPr>
          <w:rFonts w:ascii="Arial" w:hAnsi="Arial" w:cs="Arial"/>
          <w:sz w:val="20"/>
          <w:szCs w:val="20"/>
        </w:rPr>
        <w:t xml:space="preserve">, </w:t>
      </w:r>
    </w:p>
    <w:p w:rsidR="00E108E3" w:rsidRDefault="00E108E3" w:rsidP="00622E5F">
      <w:pPr>
        <w:jc w:val="both"/>
        <w:rPr>
          <w:rFonts w:ascii="Arial" w:hAnsi="Arial" w:cs="Arial"/>
          <w:sz w:val="20"/>
          <w:szCs w:val="20"/>
        </w:rPr>
      </w:pPr>
      <w:r w:rsidRPr="00E108E3">
        <w:rPr>
          <w:noProof/>
        </w:rPr>
        <w:drawing>
          <wp:inline distT="0" distB="0" distL="0" distR="0">
            <wp:extent cx="3371215" cy="652145"/>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71215" cy="652145"/>
                    </a:xfrm>
                    <a:prstGeom prst="rect">
                      <a:avLst/>
                    </a:prstGeom>
                    <a:noFill/>
                    <a:ln>
                      <a:noFill/>
                    </a:ln>
                  </pic:spPr>
                </pic:pic>
              </a:graphicData>
            </a:graphic>
          </wp:inline>
        </w:drawing>
      </w:r>
    </w:p>
    <w:p w:rsidR="009A3433" w:rsidRDefault="00F47E02" w:rsidP="00622E5F">
      <w:pPr>
        <w:jc w:val="both"/>
        <w:rPr>
          <w:rFonts w:ascii="Arial" w:hAnsi="Arial" w:cs="Arial"/>
          <w:sz w:val="20"/>
          <w:szCs w:val="20"/>
        </w:rPr>
      </w:pPr>
      <w:r w:rsidRPr="00F47E02">
        <w:drawing>
          <wp:inline distT="0" distB="0" distL="0" distR="0">
            <wp:extent cx="7187025" cy="85587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67302" cy="865438"/>
                    </a:xfrm>
                    <a:prstGeom prst="rect">
                      <a:avLst/>
                    </a:prstGeom>
                    <a:noFill/>
                    <a:ln>
                      <a:noFill/>
                    </a:ln>
                  </pic:spPr>
                </pic:pic>
              </a:graphicData>
            </a:graphic>
          </wp:inline>
        </w:drawing>
      </w:r>
    </w:p>
    <w:p w:rsidR="00050AAD" w:rsidRDefault="00050AAD" w:rsidP="00622E5F">
      <w:pPr>
        <w:jc w:val="both"/>
        <w:rPr>
          <w:rFonts w:ascii="Arial" w:hAnsi="Arial" w:cs="Arial"/>
          <w:sz w:val="20"/>
          <w:szCs w:val="20"/>
        </w:rPr>
      </w:pPr>
    </w:p>
    <w:p w:rsidR="004E0A90" w:rsidRDefault="004E0A90" w:rsidP="00622E5F">
      <w:pPr>
        <w:jc w:val="both"/>
        <w:rPr>
          <w:rFonts w:ascii="Arial" w:hAnsi="Arial" w:cs="Arial"/>
          <w:sz w:val="20"/>
          <w:szCs w:val="20"/>
        </w:rPr>
      </w:pPr>
    </w:p>
    <w:p w:rsidR="004E0A90" w:rsidRDefault="004E0A90" w:rsidP="00622E5F">
      <w:pPr>
        <w:jc w:val="both"/>
        <w:rPr>
          <w:rFonts w:ascii="Arial" w:hAnsi="Arial" w:cs="Arial"/>
          <w:sz w:val="20"/>
          <w:szCs w:val="20"/>
        </w:rPr>
      </w:pPr>
    </w:p>
    <w:p w:rsidR="00E108E3" w:rsidRDefault="00E108E3" w:rsidP="00622E5F">
      <w:pPr>
        <w:jc w:val="both"/>
        <w:rPr>
          <w:rFonts w:ascii="Arial" w:hAnsi="Arial" w:cs="Arial"/>
          <w:sz w:val="20"/>
          <w:szCs w:val="20"/>
        </w:rPr>
      </w:pPr>
      <w:r>
        <w:rPr>
          <w:rFonts w:ascii="Arial" w:hAnsi="Arial" w:cs="Arial"/>
          <w:sz w:val="20"/>
          <w:szCs w:val="20"/>
        </w:rPr>
        <w:lastRenderedPageBreak/>
        <w:t>The below chart shows the performance of momentum factor (weighting scheme: Equal Weighted, adjusted for industry biases, Benchmark taken as Barra Equal Weighted Index)</w:t>
      </w:r>
    </w:p>
    <w:p w:rsidR="00E108E3" w:rsidRDefault="00F47E02" w:rsidP="00622E5F">
      <w:pPr>
        <w:jc w:val="both"/>
        <w:rPr>
          <w:rFonts w:ascii="Arial" w:hAnsi="Arial" w:cs="Arial"/>
          <w:sz w:val="20"/>
          <w:szCs w:val="20"/>
        </w:rPr>
      </w:pPr>
      <w:r w:rsidRPr="00F47E02">
        <w:drawing>
          <wp:inline distT="0" distB="0" distL="0" distR="0">
            <wp:extent cx="7084642" cy="2143353"/>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00853" cy="2148258"/>
                    </a:xfrm>
                    <a:prstGeom prst="rect">
                      <a:avLst/>
                    </a:prstGeom>
                    <a:noFill/>
                    <a:ln>
                      <a:noFill/>
                    </a:ln>
                  </pic:spPr>
                </pic:pic>
              </a:graphicData>
            </a:graphic>
          </wp:inline>
        </w:drawing>
      </w:r>
    </w:p>
    <w:p w:rsidR="00E108E3" w:rsidRDefault="00E108E3" w:rsidP="00622E5F">
      <w:pPr>
        <w:jc w:val="both"/>
        <w:rPr>
          <w:rFonts w:ascii="Arial" w:hAnsi="Arial" w:cs="Arial"/>
          <w:sz w:val="20"/>
          <w:szCs w:val="20"/>
        </w:rPr>
      </w:pPr>
    </w:p>
    <w:p w:rsidR="00E108E3" w:rsidRDefault="004E0A90" w:rsidP="00622E5F">
      <w:pPr>
        <w:jc w:val="both"/>
        <w:rPr>
          <w:rFonts w:ascii="Arial" w:hAnsi="Arial" w:cs="Arial"/>
          <w:b/>
          <w:sz w:val="20"/>
          <w:szCs w:val="20"/>
        </w:rPr>
      </w:pPr>
      <w:r>
        <w:rPr>
          <w:rFonts w:ascii="Arial" w:hAnsi="Arial" w:cs="Arial"/>
          <w:b/>
          <w:sz w:val="20"/>
          <w:szCs w:val="20"/>
        </w:rPr>
        <w:t xml:space="preserve">Excess Return </w:t>
      </w:r>
      <w:r w:rsidR="00E108E3" w:rsidRPr="0024416C">
        <w:rPr>
          <w:rFonts w:ascii="Arial" w:hAnsi="Arial" w:cs="Arial"/>
          <w:b/>
          <w:sz w:val="20"/>
          <w:szCs w:val="20"/>
        </w:rPr>
        <w:t>(</w:t>
      </w:r>
      <w:r>
        <w:rPr>
          <w:rFonts w:ascii="Arial" w:hAnsi="Arial" w:cs="Arial"/>
          <w:b/>
          <w:sz w:val="20"/>
          <w:szCs w:val="20"/>
        </w:rPr>
        <w:t xml:space="preserve">Top/Bottom Quintile minus </w:t>
      </w:r>
      <w:r w:rsidR="0024416C">
        <w:rPr>
          <w:rFonts w:ascii="Arial" w:hAnsi="Arial" w:cs="Arial"/>
          <w:b/>
          <w:sz w:val="20"/>
          <w:szCs w:val="20"/>
        </w:rPr>
        <w:t>B</w:t>
      </w:r>
      <w:r>
        <w:rPr>
          <w:rFonts w:ascii="Arial" w:hAnsi="Arial" w:cs="Arial"/>
          <w:b/>
          <w:sz w:val="20"/>
          <w:szCs w:val="20"/>
        </w:rPr>
        <w:t>enchmark =</w:t>
      </w:r>
      <w:r w:rsidR="006A0FB5">
        <w:rPr>
          <w:rFonts w:ascii="Arial" w:hAnsi="Arial" w:cs="Arial"/>
          <w:b/>
          <w:sz w:val="20"/>
          <w:szCs w:val="20"/>
        </w:rPr>
        <w:t xml:space="preserve"> </w:t>
      </w:r>
      <w:r w:rsidR="00E108E3" w:rsidRPr="0024416C">
        <w:rPr>
          <w:rFonts w:ascii="Arial" w:hAnsi="Arial" w:cs="Arial"/>
          <w:b/>
          <w:sz w:val="20"/>
          <w:szCs w:val="20"/>
        </w:rPr>
        <w:t>M2USEW) under different weighting scheme</w:t>
      </w:r>
    </w:p>
    <w:p w:rsidR="0024416C" w:rsidRDefault="00F47E02" w:rsidP="00622E5F">
      <w:pPr>
        <w:jc w:val="both"/>
        <w:rPr>
          <w:rFonts w:ascii="Arial" w:hAnsi="Arial" w:cs="Arial"/>
          <w:b/>
          <w:sz w:val="20"/>
          <w:szCs w:val="20"/>
        </w:rPr>
      </w:pPr>
      <w:r w:rsidRPr="00F47E02">
        <w:drawing>
          <wp:inline distT="0" distB="0" distL="0" distR="0">
            <wp:extent cx="7148989" cy="20409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245297" cy="2068436"/>
                    </a:xfrm>
                    <a:prstGeom prst="rect">
                      <a:avLst/>
                    </a:prstGeom>
                    <a:noFill/>
                    <a:ln>
                      <a:noFill/>
                    </a:ln>
                  </pic:spPr>
                </pic:pic>
              </a:graphicData>
            </a:graphic>
          </wp:inline>
        </w:drawing>
      </w:r>
    </w:p>
    <w:p w:rsidR="00EC6B8A" w:rsidRDefault="00EC6B8A" w:rsidP="00622E5F">
      <w:pPr>
        <w:jc w:val="both"/>
        <w:rPr>
          <w:rFonts w:ascii="Arial" w:hAnsi="Arial" w:cs="Arial"/>
          <w:sz w:val="20"/>
          <w:szCs w:val="20"/>
        </w:rPr>
      </w:pPr>
      <w:r>
        <w:rPr>
          <w:rFonts w:ascii="Arial" w:hAnsi="Arial" w:cs="Arial"/>
          <w:sz w:val="20"/>
          <w:szCs w:val="20"/>
        </w:rPr>
        <w:t>From the above charts, we can clearly see that winners and losers portfolio behaviors changes significant as you consider different weighting schemes and adjust for industry momentum.</w:t>
      </w:r>
    </w:p>
    <w:p w:rsidR="00443F31" w:rsidRDefault="00443F31" w:rsidP="00443F31">
      <w:pPr>
        <w:jc w:val="both"/>
        <w:rPr>
          <w:rFonts w:ascii="Arial" w:hAnsi="Arial" w:cs="Arial"/>
          <w:b/>
          <w:sz w:val="20"/>
          <w:szCs w:val="20"/>
        </w:rPr>
      </w:pPr>
    </w:p>
    <w:p w:rsidR="00443F31" w:rsidRDefault="00443F31" w:rsidP="00443F31">
      <w:pPr>
        <w:jc w:val="both"/>
        <w:rPr>
          <w:rFonts w:ascii="Arial" w:hAnsi="Arial" w:cs="Arial"/>
          <w:sz w:val="20"/>
          <w:szCs w:val="20"/>
        </w:rPr>
      </w:pPr>
      <w:r w:rsidRPr="00443F31">
        <w:rPr>
          <w:rFonts w:ascii="Arial" w:hAnsi="Arial" w:cs="Arial"/>
          <w:b/>
          <w:sz w:val="20"/>
          <w:szCs w:val="20"/>
        </w:rPr>
        <w:t>Momentum Factor Exposure</w:t>
      </w:r>
      <w:r>
        <w:rPr>
          <w:rFonts w:ascii="Arial" w:hAnsi="Arial" w:cs="Arial"/>
          <w:sz w:val="20"/>
          <w:szCs w:val="20"/>
        </w:rPr>
        <w:t xml:space="preserve"> </w:t>
      </w:r>
      <w:r w:rsidRPr="00EC6B8A">
        <w:rPr>
          <w:rFonts w:ascii="Arial" w:hAnsi="Arial" w:cs="Arial"/>
          <w:b/>
          <w:sz w:val="20"/>
          <w:szCs w:val="20"/>
        </w:rPr>
        <w:t xml:space="preserve">from the perspective of Standard Risk Factor Model </w:t>
      </w:r>
      <w:r>
        <w:rPr>
          <w:rFonts w:ascii="Arial" w:hAnsi="Arial" w:cs="Arial"/>
          <w:sz w:val="20"/>
          <w:szCs w:val="20"/>
        </w:rPr>
        <w:t>(</w:t>
      </w:r>
      <w:r w:rsidRPr="00EC6B8A">
        <w:rPr>
          <w:rFonts w:ascii="Arial" w:hAnsi="Arial" w:cs="Arial"/>
          <w:i/>
          <w:sz w:val="16"/>
          <w:szCs w:val="16"/>
        </w:rPr>
        <w:t>Bloomberg US Equity Factor Model</w:t>
      </w:r>
      <w:r>
        <w:rPr>
          <w:rFonts w:ascii="Arial" w:hAnsi="Arial" w:cs="Arial"/>
          <w:sz w:val="20"/>
          <w:szCs w:val="20"/>
        </w:rPr>
        <w:t>)</w:t>
      </w:r>
    </w:p>
    <w:p w:rsidR="00443F31" w:rsidRDefault="00443F31" w:rsidP="00622E5F">
      <w:pPr>
        <w:jc w:val="both"/>
        <w:rPr>
          <w:rFonts w:ascii="Arial" w:hAnsi="Arial" w:cs="Arial"/>
          <w:sz w:val="20"/>
          <w:szCs w:val="20"/>
        </w:rPr>
      </w:pPr>
      <w:r w:rsidRPr="00443F31">
        <w:drawing>
          <wp:inline distT="0" distB="0" distL="0" distR="0">
            <wp:extent cx="6987286" cy="2143354"/>
            <wp:effectExtent l="0" t="0" r="444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28395" cy="2155964"/>
                    </a:xfrm>
                    <a:prstGeom prst="rect">
                      <a:avLst/>
                    </a:prstGeom>
                    <a:noFill/>
                    <a:ln>
                      <a:noFill/>
                    </a:ln>
                  </pic:spPr>
                </pic:pic>
              </a:graphicData>
            </a:graphic>
          </wp:inline>
        </w:drawing>
      </w:r>
    </w:p>
    <w:p w:rsidR="00443F31" w:rsidRDefault="00443F31" w:rsidP="00622E5F">
      <w:pPr>
        <w:jc w:val="both"/>
        <w:rPr>
          <w:rFonts w:ascii="Arial" w:hAnsi="Arial" w:cs="Arial"/>
          <w:b/>
          <w:sz w:val="20"/>
          <w:szCs w:val="20"/>
        </w:rPr>
      </w:pPr>
    </w:p>
    <w:p w:rsidR="00443F31" w:rsidRDefault="00443F31" w:rsidP="00622E5F">
      <w:pPr>
        <w:jc w:val="both"/>
        <w:rPr>
          <w:rFonts w:ascii="Arial" w:hAnsi="Arial" w:cs="Arial"/>
          <w:b/>
          <w:sz w:val="20"/>
          <w:szCs w:val="20"/>
        </w:rPr>
      </w:pPr>
      <w:r>
        <w:rPr>
          <w:rFonts w:ascii="Arial" w:hAnsi="Arial" w:cs="Arial"/>
          <w:b/>
          <w:sz w:val="20"/>
          <w:szCs w:val="20"/>
        </w:rPr>
        <w:lastRenderedPageBreak/>
        <w:t>Predicted Beta for Momentum Factor Portfolio</w:t>
      </w:r>
    </w:p>
    <w:p w:rsidR="00443F31" w:rsidRDefault="00876371" w:rsidP="00622E5F">
      <w:pPr>
        <w:jc w:val="both"/>
        <w:rPr>
          <w:rFonts w:ascii="Arial" w:hAnsi="Arial" w:cs="Arial"/>
          <w:b/>
          <w:sz w:val="20"/>
          <w:szCs w:val="20"/>
        </w:rPr>
      </w:pPr>
      <w:r w:rsidRPr="00876371">
        <w:drawing>
          <wp:inline distT="0" distB="0" distL="0" distR="0">
            <wp:extent cx="4579620" cy="2809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9620" cy="2809240"/>
                    </a:xfrm>
                    <a:prstGeom prst="rect">
                      <a:avLst/>
                    </a:prstGeom>
                    <a:noFill/>
                    <a:ln>
                      <a:noFill/>
                    </a:ln>
                  </pic:spPr>
                </pic:pic>
              </a:graphicData>
            </a:graphic>
          </wp:inline>
        </w:drawing>
      </w:r>
    </w:p>
    <w:p w:rsidR="00EC6B8A" w:rsidRDefault="00EC6B8A" w:rsidP="00622E5F">
      <w:pPr>
        <w:jc w:val="both"/>
        <w:rPr>
          <w:rFonts w:ascii="Arial" w:hAnsi="Arial" w:cs="Arial"/>
          <w:color w:val="FF0000"/>
          <w:sz w:val="20"/>
          <w:szCs w:val="20"/>
        </w:rPr>
      </w:pPr>
      <w:r w:rsidRPr="00EC6B8A">
        <w:rPr>
          <w:rFonts w:ascii="Arial" w:hAnsi="Arial" w:cs="Arial"/>
          <w:b/>
          <w:sz w:val="20"/>
          <w:szCs w:val="20"/>
        </w:rPr>
        <w:t>Other Factor Exposure</w:t>
      </w:r>
      <w:r w:rsidR="002E25D1">
        <w:rPr>
          <w:rFonts w:ascii="Arial" w:hAnsi="Arial" w:cs="Arial"/>
          <w:b/>
          <w:sz w:val="20"/>
          <w:szCs w:val="20"/>
        </w:rPr>
        <w:t>s</w:t>
      </w:r>
      <w:r w:rsidRPr="00EC6B8A">
        <w:rPr>
          <w:rFonts w:ascii="Arial" w:hAnsi="Arial" w:cs="Arial"/>
          <w:b/>
          <w:sz w:val="20"/>
          <w:szCs w:val="20"/>
        </w:rPr>
        <w:t xml:space="preserve"> in Momentum Portfolio </w:t>
      </w:r>
    </w:p>
    <w:p w:rsidR="00443F31" w:rsidRPr="00EC6B8A" w:rsidRDefault="00443F31" w:rsidP="00622E5F">
      <w:pPr>
        <w:jc w:val="both"/>
        <w:rPr>
          <w:rFonts w:ascii="Arial" w:hAnsi="Arial" w:cs="Arial"/>
          <w:color w:val="FF0000"/>
          <w:sz w:val="20"/>
          <w:szCs w:val="20"/>
        </w:rPr>
      </w:pPr>
      <w:r w:rsidRPr="00443F31">
        <w:drawing>
          <wp:inline distT="0" distB="0" distL="0" distR="0">
            <wp:extent cx="6743700" cy="41414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43700" cy="4141408"/>
                    </a:xfrm>
                    <a:prstGeom prst="rect">
                      <a:avLst/>
                    </a:prstGeom>
                    <a:noFill/>
                    <a:ln>
                      <a:noFill/>
                    </a:ln>
                  </pic:spPr>
                </pic:pic>
              </a:graphicData>
            </a:graphic>
          </wp:inline>
        </w:drawing>
      </w:r>
    </w:p>
    <w:p w:rsidR="00443F31" w:rsidRPr="00876371" w:rsidRDefault="00876371" w:rsidP="00622E5F">
      <w:pPr>
        <w:jc w:val="both"/>
        <w:rPr>
          <w:rFonts w:ascii="Arial" w:hAnsi="Arial" w:cs="Arial"/>
          <w:sz w:val="20"/>
          <w:szCs w:val="20"/>
        </w:rPr>
      </w:pPr>
      <w:r>
        <w:rPr>
          <w:rFonts w:ascii="Arial" w:hAnsi="Arial" w:cs="Arial"/>
          <w:sz w:val="20"/>
          <w:szCs w:val="20"/>
        </w:rPr>
        <w:t xml:space="preserve">Much like Value, Momentum has also certain unintended factor exposure such as negative exposure to Profitability asn positive exposure to </w:t>
      </w:r>
      <w:r w:rsidR="00641CFA">
        <w:rPr>
          <w:rFonts w:ascii="Arial" w:hAnsi="Arial" w:cs="Arial"/>
          <w:sz w:val="20"/>
          <w:szCs w:val="20"/>
        </w:rPr>
        <w:t>Volatility, which</w:t>
      </w:r>
      <w:r>
        <w:rPr>
          <w:rFonts w:ascii="Arial" w:hAnsi="Arial" w:cs="Arial"/>
          <w:sz w:val="20"/>
          <w:szCs w:val="20"/>
        </w:rPr>
        <w:t xml:space="preserve"> is also affirmed from positive exposure to Predicted beta over time. All these factor exposures gives us a possible case for factor diversification using a low beta portfolio/</w:t>
      </w:r>
      <w:r w:rsidR="00641CFA">
        <w:rPr>
          <w:rFonts w:ascii="Arial" w:hAnsi="Arial" w:cs="Arial"/>
          <w:sz w:val="20"/>
          <w:szCs w:val="20"/>
        </w:rPr>
        <w:t>High Quality factor Portfolio, there by enhancing performance on an risk adjusted basis.</w:t>
      </w:r>
    </w:p>
    <w:p w:rsidR="00FE46E1" w:rsidRDefault="00FE46E1" w:rsidP="00622E5F">
      <w:pPr>
        <w:jc w:val="both"/>
        <w:rPr>
          <w:rFonts w:ascii="Arial" w:hAnsi="Arial" w:cs="Arial"/>
          <w:b/>
          <w:sz w:val="20"/>
          <w:szCs w:val="20"/>
        </w:rPr>
      </w:pPr>
    </w:p>
    <w:p w:rsidR="00EC6B8A" w:rsidRDefault="00EC6B8A" w:rsidP="00622E5F">
      <w:pPr>
        <w:jc w:val="both"/>
        <w:rPr>
          <w:rFonts w:ascii="Arial" w:hAnsi="Arial" w:cs="Arial"/>
          <w:b/>
          <w:sz w:val="20"/>
          <w:szCs w:val="20"/>
        </w:rPr>
      </w:pPr>
      <w:r w:rsidRPr="00EC6B8A">
        <w:rPr>
          <w:rFonts w:ascii="Arial" w:hAnsi="Arial" w:cs="Arial"/>
          <w:b/>
          <w:sz w:val="20"/>
          <w:szCs w:val="20"/>
        </w:rPr>
        <w:lastRenderedPageBreak/>
        <w:t>Momentum Factor – Case for Diversification</w:t>
      </w:r>
      <w:r w:rsidR="00443F31">
        <w:rPr>
          <w:rFonts w:ascii="Arial" w:hAnsi="Arial" w:cs="Arial"/>
          <w:b/>
          <w:sz w:val="20"/>
          <w:szCs w:val="20"/>
        </w:rPr>
        <w:t xml:space="preserve"> when combined with Value Factor Portfolio</w:t>
      </w:r>
    </w:p>
    <w:p w:rsidR="006647EF" w:rsidRDefault="006647EF" w:rsidP="00622E5F">
      <w:pPr>
        <w:jc w:val="both"/>
        <w:rPr>
          <w:rFonts w:ascii="Arial" w:hAnsi="Arial" w:cs="Arial"/>
          <w:b/>
          <w:sz w:val="20"/>
          <w:szCs w:val="20"/>
        </w:rPr>
      </w:pPr>
      <w:r w:rsidRPr="006647EF">
        <w:rPr>
          <w:noProof/>
        </w:rPr>
        <w:drawing>
          <wp:inline distT="0" distB="0" distL="0" distR="0">
            <wp:extent cx="3635654" cy="2168872"/>
            <wp:effectExtent l="0" t="0" r="3175"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53315" cy="2179408"/>
                    </a:xfrm>
                    <a:prstGeom prst="rect">
                      <a:avLst/>
                    </a:prstGeom>
                    <a:noFill/>
                    <a:ln>
                      <a:noFill/>
                    </a:ln>
                  </pic:spPr>
                </pic:pic>
              </a:graphicData>
            </a:graphic>
          </wp:inline>
        </w:drawing>
      </w:r>
    </w:p>
    <w:p w:rsidR="002E25D1" w:rsidRDefault="002E25D1" w:rsidP="00622E5F">
      <w:pPr>
        <w:jc w:val="both"/>
        <w:rPr>
          <w:rFonts w:ascii="Arial" w:hAnsi="Arial" w:cs="Arial"/>
          <w:sz w:val="20"/>
          <w:szCs w:val="20"/>
        </w:rPr>
      </w:pPr>
      <w:r>
        <w:rPr>
          <w:rFonts w:ascii="Arial" w:hAnsi="Arial" w:cs="Arial"/>
          <w:sz w:val="20"/>
          <w:szCs w:val="20"/>
        </w:rPr>
        <w:t xml:space="preserve">The above chart shows that Momentum has a persistent negative correlation with the value factor. Academics and Industry practitioners have depicted that this relationship between value and momentum is consistent across various asset classes with varying degrees over the last century. </w:t>
      </w:r>
      <w:r w:rsidR="00FE46E1">
        <w:rPr>
          <w:rFonts w:ascii="Arial" w:hAnsi="Arial" w:cs="Arial"/>
          <w:sz w:val="20"/>
          <w:szCs w:val="20"/>
        </w:rPr>
        <w:t>In addition</w:t>
      </w:r>
      <w:r w:rsidR="00443F31">
        <w:rPr>
          <w:rFonts w:ascii="Arial" w:hAnsi="Arial" w:cs="Arial"/>
          <w:sz w:val="20"/>
          <w:szCs w:val="20"/>
        </w:rPr>
        <w:t xml:space="preserve">, we can see that momentum as a factor has </w:t>
      </w:r>
      <w:r w:rsidR="00FE46E1">
        <w:rPr>
          <w:rFonts w:ascii="Arial" w:hAnsi="Arial" w:cs="Arial"/>
          <w:sz w:val="20"/>
          <w:szCs w:val="20"/>
        </w:rPr>
        <w:t>long-term</w:t>
      </w:r>
      <w:r w:rsidR="00443F31">
        <w:rPr>
          <w:rFonts w:ascii="Arial" w:hAnsi="Arial" w:cs="Arial"/>
          <w:sz w:val="20"/>
          <w:szCs w:val="20"/>
        </w:rPr>
        <w:t xml:space="preserve"> positive excess return with a moderate IR ratio. Hence, we </w:t>
      </w:r>
      <w:r w:rsidR="00FE46E1">
        <w:rPr>
          <w:rFonts w:ascii="Arial" w:hAnsi="Arial" w:cs="Arial"/>
          <w:sz w:val="20"/>
          <w:szCs w:val="20"/>
        </w:rPr>
        <w:t>believe</w:t>
      </w:r>
      <w:r w:rsidR="00443F31">
        <w:rPr>
          <w:rFonts w:ascii="Arial" w:hAnsi="Arial" w:cs="Arial"/>
          <w:sz w:val="20"/>
          <w:szCs w:val="20"/>
        </w:rPr>
        <w:t xml:space="preserve"> that combining momentum with value will definitely improve performance of the </w:t>
      </w:r>
      <w:r w:rsidR="00FE46E1">
        <w:rPr>
          <w:rFonts w:ascii="Arial" w:hAnsi="Arial" w:cs="Arial"/>
          <w:sz w:val="20"/>
          <w:szCs w:val="20"/>
        </w:rPr>
        <w:t xml:space="preserve">value </w:t>
      </w:r>
      <w:r w:rsidR="00443F31">
        <w:rPr>
          <w:rFonts w:ascii="Arial" w:hAnsi="Arial" w:cs="Arial"/>
          <w:sz w:val="20"/>
          <w:szCs w:val="20"/>
        </w:rPr>
        <w:t xml:space="preserve">factor portfolio on a </w:t>
      </w:r>
      <w:r w:rsidR="00FE46E1">
        <w:rPr>
          <w:rFonts w:ascii="Arial" w:hAnsi="Arial" w:cs="Arial"/>
          <w:sz w:val="20"/>
          <w:szCs w:val="20"/>
        </w:rPr>
        <w:t>risk-adjusted</w:t>
      </w:r>
      <w:r w:rsidR="00443F31">
        <w:rPr>
          <w:rFonts w:ascii="Arial" w:hAnsi="Arial" w:cs="Arial"/>
          <w:sz w:val="20"/>
          <w:szCs w:val="20"/>
        </w:rPr>
        <w:t xml:space="preserve"> basis.</w:t>
      </w:r>
    </w:p>
    <w:p w:rsidR="005D2663" w:rsidRDefault="005D2663" w:rsidP="00622E5F">
      <w:pPr>
        <w:jc w:val="both"/>
        <w:rPr>
          <w:rFonts w:ascii="Arial" w:hAnsi="Arial" w:cs="Arial"/>
          <w:sz w:val="20"/>
          <w:szCs w:val="20"/>
        </w:rPr>
      </w:pPr>
    </w:p>
    <w:p w:rsidR="005D2663" w:rsidRDefault="005D2663" w:rsidP="00622E5F">
      <w:pPr>
        <w:jc w:val="both"/>
        <w:rPr>
          <w:rFonts w:ascii="Arial" w:hAnsi="Arial" w:cs="Arial"/>
          <w:sz w:val="20"/>
          <w:szCs w:val="20"/>
        </w:rPr>
      </w:pPr>
      <w:r w:rsidRPr="005D2663">
        <w:rPr>
          <w:rFonts w:ascii="Arial" w:hAnsi="Arial" w:cs="Arial"/>
          <w:b/>
          <w:sz w:val="20"/>
          <w:szCs w:val="20"/>
        </w:rPr>
        <w:t>Multi</w:t>
      </w:r>
      <w:r w:rsidR="00844056">
        <w:rPr>
          <w:rFonts w:ascii="Arial" w:hAnsi="Arial" w:cs="Arial"/>
          <w:b/>
          <w:sz w:val="20"/>
          <w:szCs w:val="20"/>
        </w:rPr>
        <w:t>-</w:t>
      </w:r>
      <w:r w:rsidRPr="005D2663">
        <w:rPr>
          <w:rFonts w:ascii="Arial" w:hAnsi="Arial" w:cs="Arial"/>
          <w:b/>
          <w:sz w:val="20"/>
          <w:szCs w:val="20"/>
        </w:rPr>
        <w:t xml:space="preserve">Factor Portfolio </w:t>
      </w:r>
      <w:r w:rsidR="00844056">
        <w:rPr>
          <w:rFonts w:ascii="Arial" w:hAnsi="Arial" w:cs="Arial"/>
          <w:b/>
          <w:sz w:val="20"/>
          <w:szCs w:val="20"/>
        </w:rPr>
        <w:t>Construction</w:t>
      </w:r>
      <w:r w:rsidRPr="005D2663">
        <w:rPr>
          <w:rFonts w:ascii="Arial" w:hAnsi="Arial" w:cs="Arial"/>
          <w:b/>
          <w:sz w:val="20"/>
          <w:szCs w:val="20"/>
        </w:rPr>
        <w:t xml:space="preserve"> and </w:t>
      </w:r>
      <w:r w:rsidR="00844056">
        <w:rPr>
          <w:rFonts w:ascii="Arial" w:hAnsi="Arial" w:cs="Arial"/>
          <w:b/>
          <w:sz w:val="20"/>
          <w:szCs w:val="20"/>
        </w:rPr>
        <w:t xml:space="preserve">Portfolio </w:t>
      </w:r>
      <w:r w:rsidRPr="005D2663">
        <w:rPr>
          <w:rFonts w:ascii="Arial" w:hAnsi="Arial" w:cs="Arial"/>
          <w:b/>
          <w:sz w:val="20"/>
          <w:szCs w:val="20"/>
        </w:rPr>
        <w:t>Characteristics</w:t>
      </w:r>
      <w:r>
        <w:rPr>
          <w:rFonts w:ascii="Arial" w:hAnsi="Arial" w:cs="Arial"/>
          <w:sz w:val="20"/>
          <w:szCs w:val="20"/>
        </w:rPr>
        <w:t xml:space="preserve"> (</w:t>
      </w:r>
      <w:r w:rsidRPr="005D2663">
        <w:rPr>
          <w:rFonts w:ascii="Arial" w:hAnsi="Arial" w:cs="Arial"/>
          <w:i/>
          <w:sz w:val="20"/>
          <w:szCs w:val="20"/>
        </w:rPr>
        <w:t>Combining Value</w:t>
      </w:r>
      <w:r w:rsidR="00844056">
        <w:rPr>
          <w:rFonts w:ascii="Arial" w:hAnsi="Arial" w:cs="Arial"/>
          <w:i/>
          <w:sz w:val="20"/>
          <w:szCs w:val="20"/>
        </w:rPr>
        <w:t xml:space="preserve"> (60%)</w:t>
      </w:r>
      <w:r w:rsidRPr="005D2663">
        <w:rPr>
          <w:rFonts w:ascii="Arial" w:hAnsi="Arial" w:cs="Arial"/>
          <w:i/>
          <w:sz w:val="20"/>
          <w:szCs w:val="20"/>
        </w:rPr>
        <w:t xml:space="preserve"> and Momentum</w:t>
      </w:r>
      <w:r w:rsidR="00844056">
        <w:rPr>
          <w:rFonts w:ascii="Arial" w:hAnsi="Arial" w:cs="Arial"/>
          <w:i/>
          <w:sz w:val="20"/>
          <w:szCs w:val="20"/>
        </w:rPr>
        <w:t xml:space="preserve"> (40%)</w:t>
      </w:r>
      <w:r>
        <w:rPr>
          <w:rFonts w:ascii="Arial" w:hAnsi="Arial" w:cs="Arial"/>
          <w:sz w:val="20"/>
          <w:szCs w:val="20"/>
        </w:rPr>
        <w:t>)</w:t>
      </w:r>
    </w:p>
    <w:p w:rsidR="00844056" w:rsidRDefault="00844056" w:rsidP="00622E5F">
      <w:pPr>
        <w:jc w:val="both"/>
        <w:rPr>
          <w:rFonts w:ascii="Arial" w:hAnsi="Arial" w:cs="Arial"/>
          <w:sz w:val="20"/>
          <w:szCs w:val="20"/>
        </w:rPr>
      </w:pPr>
      <w:r>
        <w:rPr>
          <w:rFonts w:ascii="Arial" w:hAnsi="Arial" w:cs="Arial"/>
          <w:sz w:val="20"/>
          <w:szCs w:val="20"/>
        </w:rPr>
        <w:t xml:space="preserve">As we have shown above, Value and Momentum both generates consistent returns over long-term horizon. Not only that, both exhibit persistent negative correlation. Hence, combining the </w:t>
      </w:r>
      <w:r w:rsidR="00A818BD">
        <w:rPr>
          <w:rFonts w:ascii="Arial" w:hAnsi="Arial" w:cs="Arial"/>
          <w:sz w:val="20"/>
          <w:szCs w:val="20"/>
        </w:rPr>
        <w:t>two-factor</w:t>
      </w:r>
      <w:r>
        <w:rPr>
          <w:rFonts w:ascii="Arial" w:hAnsi="Arial" w:cs="Arial"/>
          <w:sz w:val="20"/>
          <w:szCs w:val="20"/>
        </w:rPr>
        <w:t xml:space="preserve"> should produce better </w:t>
      </w:r>
      <w:r w:rsidR="00A818BD">
        <w:rPr>
          <w:rFonts w:ascii="Arial" w:hAnsi="Arial" w:cs="Arial"/>
          <w:sz w:val="20"/>
          <w:szCs w:val="20"/>
        </w:rPr>
        <w:t>risk-adjusted</w:t>
      </w:r>
      <w:r>
        <w:rPr>
          <w:rFonts w:ascii="Arial" w:hAnsi="Arial" w:cs="Arial"/>
          <w:sz w:val="20"/>
          <w:szCs w:val="20"/>
        </w:rPr>
        <w:t xml:space="preserve"> returns. Here, we have combined the two factors (Value and Momentum) in the portfolio in 60/40 ratio. Reason being you could clearly see that Momentum has some negative value exposure and hence underweighting on the momentum portfolio.</w:t>
      </w:r>
    </w:p>
    <w:p w:rsidR="00A818BD" w:rsidRDefault="00A818BD" w:rsidP="00622E5F">
      <w:pPr>
        <w:jc w:val="both"/>
        <w:rPr>
          <w:rFonts w:ascii="Arial" w:hAnsi="Arial" w:cs="Arial"/>
          <w:sz w:val="20"/>
          <w:szCs w:val="20"/>
        </w:rPr>
      </w:pPr>
      <w:r w:rsidRPr="00E108E3">
        <w:rPr>
          <w:noProof/>
        </w:rPr>
        <w:drawing>
          <wp:inline distT="0" distB="0" distL="0" distR="0" wp14:anchorId="384D9F89" wp14:editId="14EE2D3A">
            <wp:extent cx="3148965" cy="5962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8965" cy="596265"/>
                    </a:xfrm>
                    <a:prstGeom prst="rect">
                      <a:avLst/>
                    </a:prstGeom>
                    <a:noFill/>
                    <a:ln>
                      <a:noFill/>
                    </a:ln>
                  </pic:spPr>
                </pic:pic>
              </a:graphicData>
            </a:graphic>
          </wp:inline>
        </w:drawing>
      </w:r>
    </w:p>
    <w:p w:rsidR="00844056" w:rsidRDefault="00A818BD" w:rsidP="00622E5F">
      <w:pPr>
        <w:jc w:val="both"/>
        <w:rPr>
          <w:rFonts w:ascii="Arial" w:hAnsi="Arial" w:cs="Arial"/>
          <w:sz w:val="20"/>
          <w:szCs w:val="20"/>
        </w:rPr>
      </w:pPr>
      <w:r w:rsidRPr="00A818BD">
        <w:drawing>
          <wp:inline distT="0" distB="0" distL="0" distR="0">
            <wp:extent cx="7154265" cy="533217"/>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543102" cy="562198"/>
                    </a:xfrm>
                    <a:prstGeom prst="rect">
                      <a:avLst/>
                    </a:prstGeom>
                    <a:noFill/>
                    <a:ln>
                      <a:noFill/>
                    </a:ln>
                  </pic:spPr>
                </pic:pic>
              </a:graphicData>
            </a:graphic>
          </wp:inline>
        </w:drawing>
      </w:r>
    </w:p>
    <w:p w:rsidR="00844056" w:rsidRDefault="00A818BD" w:rsidP="00622E5F">
      <w:pPr>
        <w:jc w:val="both"/>
        <w:rPr>
          <w:rFonts w:ascii="Arial" w:hAnsi="Arial" w:cs="Arial"/>
          <w:sz w:val="20"/>
          <w:szCs w:val="20"/>
        </w:rPr>
      </w:pPr>
      <w:r w:rsidRPr="00A818BD">
        <w:drawing>
          <wp:inline distT="0" distB="0" distL="0" distR="0">
            <wp:extent cx="7153910" cy="2177473"/>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179938" cy="2185395"/>
                    </a:xfrm>
                    <a:prstGeom prst="rect">
                      <a:avLst/>
                    </a:prstGeom>
                    <a:noFill/>
                    <a:ln>
                      <a:noFill/>
                    </a:ln>
                  </pic:spPr>
                </pic:pic>
              </a:graphicData>
            </a:graphic>
          </wp:inline>
        </w:drawing>
      </w:r>
    </w:p>
    <w:p w:rsidR="00497BDB" w:rsidRDefault="00497BDB" w:rsidP="00622E5F">
      <w:pPr>
        <w:jc w:val="both"/>
        <w:rPr>
          <w:rFonts w:ascii="Arial" w:hAnsi="Arial" w:cs="Arial"/>
          <w:sz w:val="20"/>
          <w:szCs w:val="20"/>
        </w:rPr>
      </w:pPr>
    </w:p>
    <w:p w:rsidR="004B6321" w:rsidRDefault="004B6321" w:rsidP="00622E5F">
      <w:pPr>
        <w:jc w:val="both"/>
        <w:rPr>
          <w:rFonts w:ascii="Arial" w:hAnsi="Arial" w:cs="Arial"/>
          <w:b/>
          <w:sz w:val="20"/>
          <w:szCs w:val="20"/>
        </w:rPr>
      </w:pPr>
    </w:p>
    <w:p w:rsidR="00497BDB" w:rsidRDefault="004B6321" w:rsidP="00622E5F">
      <w:pPr>
        <w:jc w:val="both"/>
        <w:rPr>
          <w:rFonts w:ascii="Arial" w:hAnsi="Arial" w:cs="Arial"/>
          <w:sz w:val="20"/>
          <w:szCs w:val="20"/>
        </w:rPr>
      </w:pPr>
      <w:r w:rsidRPr="004B6321">
        <w:rPr>
          <w:rFonts w:ascii="Arial" w:hAnsi="Arial" w:cs="Arial"/>
          <w:b/>
          <w:sz w:val="20"/>
          <w:szCs w:val="20"/>
        </w:rPr>
        <w:lastRenderedPageBreak/>
        <w:t xml:space="preserve">Risk </w:t>
      </w:r>
      <w:r>
        <w:rPr>
          <w:rFonts w:ascii="Arial" w:hAnsi="Arial" w:cs="Arial"/>
          <w:b/>
          <w:sz w:val="20"/>
          <w:szCs w:val="20"/>
        </w:rPr>
        <w:t xml:space="preserve">Exposure </w:t>
      </w:r>
      <w:r w:rsidRPr="004B6321">
        <w:rPr>
          <w:rFonts w:ascii="Arial" w:hAnsi="Arial" w:cs="Arial"/>
          <w:b/>
          <w:sz w:val="20"/>
          <w:szCs w:val="20"/>
        </w:rPr>
        <w:t>Characteristics</w:t>
      </w:r>
      <w:r>
        <w:rPr>
          <w:rFonts w:ascii="Arial" w:hAnsi="Arial" w:cs="Arial"/>
          <w:sz w:val="20"/>
          <w:szCs w:val="20"/>
        </w:rPr>
        <w:t xml:space="preserve"> (</w:t>
      </w:r>
      <w:r w:rsidRPr="004B6321">
        <w:rPr>
          <w:rFonts w:ascii="Arial" w:hAnsi="Arial" w:cs="Arial"/>
          <w:i/>
          <w:sz w:val="20"/>
          <w:szCs w:val="20"/>
        </w:rPr>
        <w:t>Using Bloomberg US Equity Factor Model</w:t>
      </w:r>
      <w:r>
        <w:rPr>
          <w:rFonts w:ascii="Arial" w:hAnsi="Arial" w:cs="Arial"/>
          <w:sz w:val="20"/>
          <w:szCs w:val="20"/>
        </w:rPr>
        <w:t>)</w:t>
      </w:r>
    </w:p>
    <w:p w:rsidR="00497BDB" w:rsidRDefault="006218C0" w:rsidP="00622E5F">
      <w:pPr>
        <w:jc w:val="both"/>
        <w:rPr>
          <w:rFonts w:ascii="Arial" w:hAnsi="Arial" w:cs="Arial"/>
          <w:sz w:val="20"/>
          <w:szCs w:val="20"/>
        </w:rPr>
      </w:pPr>
      <w:r w:rsidRPr="006218C0">
        <w:drawing>
          <wp:inline distT="0" distB="0" distL="0" distR="0">
            <wp:extent cx="6743700" cy="206022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43700" cy="2060226"/>
                    </a:xfrm>
                    <a:prstGeom prst="rect">
                      <a:avLst/>
                    </a:prstGeom>
                    <a:noFill/>
                    <a:ln>
                      <a:noFill/>
                    </a:ln>
                  </pic:spPr>
                </pic:pic>
              </a:graphicData>
            </a:graphic>
          </wp:inline>
        </w:drawing>
      </w:r>
    </w:p>
    <w:p w:rsidR="006218C0" w:rsidRDefault="006218C0" w:rsidP="00622E5F">
      <w:pPr>
        <w:jc w:val="both"/>
        <w:rPr>
          <w:rFonts w:ascii="Arial" w:hAnsi="Arial" w:cs="Arial"/>
          <w:sz w:val="20"/>
          <w:szCs w:val="20"/>
        </w:rPr>
      </w:pPr>
      <w:r w:rsidRPr="006218C0">
        <w:drawing>
          <wp:inline distT="0" distB="0" distL="0" distR="0">
            <wp:extent cx="6743700" cy="207936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743700" cy="2079362"/>
                    </a:xfrm>
                    <a:prstGeom prst="rect">
                      <a:avLst/>
                    </a:prstGeom>
                    <a:noFill/>
                    <a:ln>
                      <a:noFill/>
                    </a:ln>
                  </pic:spPr>
                </pic:pic>
              </a:graphicData>
            </a:graphic>
          </wp:inline>
        </w:drawing>
      </w:r>
    </w:p>
    <w:p w:rsidR="003E3336" w:rsidRDefault="003E3336" w:rsidP="00622E5F">
      <w:pPr>
        <w:jc w:val="both"/>
        <w:rPr>
          <w:rFonts w:ascii="Arial" w:hAnsi="Arial" w:cs="Arial"/>
          <w:sz w:val="20"/>
          <w:szCs w:val="20"/>
        </w:rPr>
      </w:pPr>
      <w:r w:rsidRPr="003E3336">
        <w:drawing>
          <wp:inline distT="0" distB="0" distL="0" distR="0">
            <wp:extent cx="4579620" cy="28092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9620" cy="2809240"/>
                    </a:xfrm>
                    <a:prstGeom prst="rect">
                      <a:avLst/>
                    </a:prstGeom>
                    <a:noFill/>
                    <a:ln>
                      <a:noFill/>
                    </a:ln>
                  </pic:spPr>
                </pic:pic>
              </a:graphicData>
            </a:graphic>
          </wp:inline>
        </w:drawing>
      </w:r>
    </w:p>
    <w:p w:rsidR="003E3336" w:rsidRPr="002E25D1" w:rsidRDefault="003E3336" w:rsidP="00622E5F">
      <w:pPr>
        <w:jc w:val="both"/>
        <w:rPr>
          <w:rFonts w:ascii="Arial" w:hAnsi="Arial" w:cs="Arial"/>
          <w:sz w:val="20"/>
          <w:szCs w:val="20"/>
        </w:rPr>
      </w:pPr>
      <w:r>
        <w:rPr>
          <w:rFonts w:ascii="Arial" w:hAnsi="Arial" w:cs="Arial"/>
          <w:sz w:val="20"/>
          <w:szCs w:val="20"/>
        </w:rPr>
        <w:t>From these charts, Value and momentum definitely have high positive exposures as intended, though there seems to be some vol bias (as evident from positive exposures to Volatility factors as well as consistent positive predicted beta) as well as quality bias. These two factors exposures present an interesting opportunity to explore further diversification by adding a low vol/beta and Quality factor to the mix of this Value and momentum factor portfolio.</w:t>
      </w:r>
      <w:bookmarkStart w:id="0" w:name="_GoBack"/>
      <w:bookmarkEnd w:id="0"/>
    </w:p>
    <w:sectPr w:rsidR="003E3336" w:rsidRPr="002E25D1" w:rsidSect="00B56A84">
      <w:pgSz w:w="12240" w:h="15840"/>
      <w:pgMar w:top="990" w:right="900" w:bottom="108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905B8"/>
    <w:multiLevelType w:val="hybridMultilevel"/>
    <w:tmpl w:val="5CAA667A"/>
    <w:lvl w:ilvl="0" w:tplc="B1FEFE3E">
      <w:numFmt w:val="bullet"/>
      <w:lvlText w:val="·"/>
      <w:lvlJc w:val="left"/>
      <w:pPr>
        <w:ind w:left="930" w:hanging="57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947C15"/>
    <w:multiLevelType w:val="hybridMultilevel"/>
    <w:tmpl w:val="EF38D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2175D4"/>
    <w:multiLevelType w:val="hybridMultilevel"/>
    <w:tmpl w:val="20605B52"/>
    <w:lvl w:ilvl="0" w:tplc="B1FEFE3E">
      <w:numFmt w:val="bullet"/>
      <w:lvlText w:val="·"/>
      <w:lvlJc w:val="left"/>
      <w:pPr>
        <w:ind w:left="720" w:hanging="360"/>
      </w:pPr>
      <w:rPr>
        <w:rFonts w:ascii="Arial" w:eastAsiaTheme="minorHAns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1013F7"/>
    <w:multiLevelType w:val="hybridMultilevel"/>
    <w:tmpl w:val="5074E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183AB0"/>
    <w:multiLevelType w:val="hybridMultilevel"/>
    <w:tmpl w:val="6A7CB4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CF6"/>
    <w:rsid w:val="00050AAD"/>
    <w:rsid w:val="00105101"/>
    <w:rsid w:val="00135D8A"/>
    <w:rsid w:val="00156716"/>
    <w:rsid w:val="001743DF"/>
    <w:rsid w:val="001A4F08"/>
    <w:rsid w:val="001E7CD5"/>
    <w:rsid w:val="0021798A"/>
    <w:rsid w:val="0024416C"/>
    <w:rsid w:val="00281ABD"/>
    <w:rsid w:val="002E25D1"/>
    <w:rsid w:val="002F3431"/>
    <w:rsid w:val="00313B14"/>
    <w:rsid w:val="003D1B58"/>
    <w:rsid w:val="003E3336"/>
    <w:rsid w:val="00443F31"/>
    <w:rsid w:val="00497BDB"/>
    <w:rsid w:val="004B6321"/>
    <w:rsid w:val="004E0A90"/>
    <w:rsid w:val="005D12CA"/>
    <w:rsid w:val="005D2663"/>
    <w:rsid w:val="006218C0"/>
    <w:rsid w:val="00622E5F"/>
    <w:rsid w:val="00641CFA"/>
    <w:rsid w:val="00663D1B"/>
    <w:rsid w:val="006647EF"/>
    <w:rsid w:val="00683718"/>
    <w:rsid w:val="006A0FB5"/>
    <w:rsid w:val="006A4B59"/>
    <w:rsid w:val="00782C2E"/>
    <w:rsid w:val="00835B92"/>
    <w:rsid w:val="00844056"/>
    <w:rsid w:val="00876371"/>
    <w:rsid w:val="00881E13"/>
    <w:rsid w:val="00910539"/>
    <w:rsid w:val="00962478"/>
    <w:rsid w:val="00965FD4"/>
    <w:rsid w:val="009715CF"/>
    <w:rsid w:val="00991390"/>
    <w:rsid w:val="009A03AC"/>
    <w:rsid w:val="009A3433"/>
    <w:rsid w:val="00A16C8D"/>
    <w:rsid w:val="00A354B5"/>
    <w:rsid w:val="00A72385"/>
    <w:rsid w:val="00A818BD"/>
    <w:rsid w:val="00A83ED8"/>
    <w:rsid w:val="00AC2779"/>
    <w:rsid w:val="00B058E2"/>
    <w:rsid w:val="00B14277"/>
    <w:rsid w:val="00B56A84"/>
    <w:rsid w:val="00B84276"/>
    <w:rsid w:val="00C005ED"/>
    <w:rsid w:val="00C05C6D"/>
    <w:rsid w:val="00C86122"/>
    <w:rsid w:val="00C9551A"/>
    <w:rsid w:val="00D43204"/>
    <w:rsid w:val="00D84465"/>
    <w:rsid w:val="00E06820"/>
    <w:rsid w:val="00E108E3"/>
    <w:rsid w:val="00E54C58"/>
    <w:rsid w:val="00E774B7"/>
    <w:rsid w:val="00E81689"/>
    <w:rsid w:val="00EC6B8A"/>
    <w:rsid w:val="00EE7CF6"/>
    <w:rsid w:val="00F04513"/>
    <w:rsid w:val="00F17599"/>
    <w:rsid w:val="00F47E02"/>
    <w:rsid w:val="00FC4D58"/>
    <w:rsid w:val="00FE46E1"/>
    <w:rsid w:val="00FF23D4"/>
    <w:rsid w:val="00FF2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AAB48"/>
  <w15:chartTrackingRefBased/>
  <w15:docId w15:val="{CF14C96F-21F1-42B0-80B7-58F966F71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6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968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22.emf"/><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20.emf"/><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image" Target="media/image19.emf"/><Relationship Id="rId28" Type="http://schemas.openxmlformats.org/officeDocument/2006/relationships/image" Target="media/image24.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image" Target="media/image23.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3123</TotalTime>
  <Pages>9</Pages>
  <Words>1435</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mohit.agarwal@diametriccapital.com</dc:creator>
  <cp:keywords/>
  <dc:description/>
  <cp:lastModifiedBy>mohit.agarwal@diametriccapital.com</cp:lastModifiedBy>
  <cp:revision>72</cp:revision>
  <dcterms:created xsi:type="dcterms:W3CDTF">2019-06-06T02:19:00Z</dcterms:created>
  <dcterms:modified xsi:type="dcterms:W3CDTF">2019-06-09T08:24:00Z</dcterms:modified>
</cp:coreProperties>
</file>