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Trust-Aware</w:t>
      </w:r>
      <w:r>
        <w:t xml:space="preserve"> </w:t>
      </w:r>
      <w:r>
        <w:t xml:space="preserve">Explainable</w:t>
      </w:r>
      <w:r>
        <w:t xml:space="preserve"> </w:t>
      </w:r>
      <w:r>
        <w:t xml:space="preserve">Federated</w:t>
      </w:r>
      <w:r>
        <w:t xml:space="preserve"> </w:t>
      </w:r>
      <w:r>
        <w:t xml:space="preserve">Learning</w:t>
      </w:r>
      <w:r>
        <w:t xml:space="preserve"> </w:t>
      </w:r>
      <w:r>
        <w:t xml:space="preserve">for</w:t>
      </w:r>
      <w:r>
        <w:br/>
      </w:r>
      <w:r>
        <w:t xml:space="preserve">Healthcare</w:t>
      </w:r>
      <w:r>
        <w:t xml:space="preserve"> </w:t>
      </w:r>
      <w:r>
        <w:t xml:space="preserve">Risk</w:t>
      </w:r>
      <w:r>
        <w:t xml:space="preserve"> </w:t>
      </w:r>
      <w:r>
        <w:t xml:space="preserve">Prediction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Ravikumar</w:t>
      </w:r>
    </w:p>
    <w:p>
      <w:pPr>
        <w:pStyle w:val="Author"/>
      </w:pPr>
      <w:r>
        <w:t xml:space="preserve">Asst.</w:t>
      </w:r>
      <w:r>
        <w:t xml:space="preserve"> </w:t>
      </w:r>
      <w:r>
        <w:t xml:space="preserve">Prof.</w:t>
      </w:r>
      <w:r>
        <w:t xml:space="preserve"> </w:t>
      </w:r>
      <w:r>
        <w:t xml:space="preserve">Lalitha</w:t>
      </w:r>
      <w:r>
        <w:t xml:space="preserve"> </w:t>
      </w:r>
      <w:r>
        <w:t xml:space="preserve">K</w:t>
      </w:r>
    </w:p>
    <w:p>
      <w:pPr>
        <w:pStyle w:val="Author"/>
      </w:pPr>
      <w:r>
        <w:t xml:space="preserve">Sahil</w:t>
      </w:r>
      <w:r>
        <w:t xml:space="preserve"> </w:t>
      </w:r>
      <w:r>
        <w:t xml:space="preserve">Kumar</w:t>
      </w:r>
    </w:p>
    <w:p>
      <w:pPr>
        <w:pStyle w:val="Author"/>
      </w:pPr>
      <w:r>
        <w:t xml:space="preserve">Mohit</w:t>
      </w:r>
      <w:r>
        <w:t xml:space="preserve"> </w:t>
      </w:r>
      <w:r>
        <w:t xml:space="preserve">Khajuria</w:t>
      </w:r>
    </w:p>
    <w:p>
      <w:pPr>
        <w:pStyle w:val="Author"/>
      </w:pPr>
      <w:r>
        <w:t xml:space="preserve">Manjunath</w:t>
      </w:r>
      <w:r>
        <w:t xml:space="preserve"> </w:t>
      </w:r>
      <w:r>
        <w:t xml:space="preserve">K</w:t>
      </w:r>
      <w:r>
        <w:t xml:space="preserve"> </w:t>
      </w:r>
      <w:r>
        <w:t xml:space="preserve">R</w:t>
      </w:r>
    </w:p>
    <w:p>
      <w:pPr>
        <w:pStyle w:val="Author"/>
      </w:pPr>
      <w:r>
        <w:t xml:space="preserve">Prem</w:t>
      </w:r>
      <w:r>
        <w:t xml:space="preserve"> </w:t>
      </w:r>
      <w:r>
        <w:t xml:space="preserve">Kumar</w:t>
      </w:r>
      <w:r>
        <w:t xml:space="preserve"> </w:t>
      </w:r>
      <w:r>
        <w:t xml:space="preserve">S</w:t>
      </w:r>
      <w:r>
        <w:br/>
      </w:r>
      <w:r>
        <w:t xml:space="preserve">Computer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Engineering,</w:t>
      </w:r>
      <w:r>
        <w:t xml:space="preserve"> </w:t>
      </w:r>
      <w:r>
        <w:t xml:space="preserve">Sai</w:t>
      </w:r>
      <w:r>
        <w:t xml:space="preserve"> </w:t>
      </w:r>
      <w:r>
        <w:t xml:space="preserve">Vidya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t xml:space="preserve"> </w:t>
      </w:r>
      <w:r>
        <w:t xml:space="preserve">Bengaluru,</w:t>
      </w:r>
      <w:r>
        <w:t xml:space="preserve"> </w:t>
      </w:r>
      <w:r>
        <w:t xml:space="preserve">India</w:t>
      </w:r>
      <w:r>
        <w:br/>
      </w:r>
      <w:r>
        <w:t xml:space="preserve">ravikumar.hr@saividya.ac.in,</w:t>
      </w:r>
      <w:r>
        <w:t xml:space="preserve"> </w:t>
      </w:r>
      <w:r>
        <w:t xml:space="preserve">lalitha.k@saividya.ac.in,</w:t>
      </w:r>
      <w:r>
        <w:t xml:space="preserve"> </w:t>
      </w:r>
      <w:r>
        <w:t xml:space="preserve">sahil.kumar.23.cs@gmail.com,</w:t>
      </w:r>
      <w:r>
        <w:t xml:space="preserve"> </w:t>
      </w:r>
      <w:r>
        <w:t xml:space="preserve">iammohitkhajuria@gmail.com,</w:t>
      </w:r>
      <w:r>
        <w:t xml:space="preserve"> </w:t>
      </w:r>
      <w:r>
        <w:t xml:space="preserve">manjunathkr14379@gmail.com,</w:t>
      </w:r>
      <w:r>
        <w:t xml:space="preserve"> </w:t>
      </w:r>
      <w:r>
        <w:t xml:space="preserve">premkumarsprem234@gmail.com</w:t>
      </w:r>
    </w:p>
    <w:p>
      <w:pPr>
        <w:pStyle w:val="Abstract"/>
      </w:pPr>
      <w:r>
        <w:t xml:space="preserve">Federated</w:t>
      </w:r>
      <w:r>
        <w:t xml:space="preserve"> </w:t>
      </w:r>
      <w:r>
        <w:t xml:space="preserve">learning</w:t>
      </w:r>
      <w:r>
        <w:t xml:space="preserve"> </w:t>
      </w:r>
      <w:r>
        <w:t xml:space="preserve">(FL)</w:t>
      </w:r>
      <w:r>
        <w:t xml:space="preserve"> </w:t>
      </w:r>
      <w:r>
        <w:t xml:space="preserve">enables</w:t>
      </w:r>
      <w:r>
        <w:t xml:space="preserve"> </w:t>
      </w:r>
      <w:r>
        <w:t xml:space="preserve">several</w:t>
      </w:r>
      <w:r>
        <w:t xml:space="preserve"> </w:t>
      </w:r>
      <w:r>
        <w:t xml:space="preserve">hospitals</w:t>
      </w:r>
      <w:r>
        <w:t xml:space="preserve"> </w:t>
      </w:r>
      <w:r>
        <w:t xml:space="preserve">to</w:t>
      </w:r>
      <w:r>
        <w:t xml:space="preserve"> </w:t>
      </w:r>
      <w:r>
        <w:t xml:space="preserve">train</w:t>
      </w:r>
      <w:r>
        <w:t xml:space="preserve"> </w:t>
      </w:r>
      <w:r>
        <w:t xml:space="preserve">a</w:t>
      </w:r>
      <w:r>
        <w:t xml:space="preserve"> </w:t>
      </w:r>
      <w:r>
        <w:t xml:space="preserve">shared</w:t>
      </w:r>
      <w:r>
        <w:t xml:space="preserve"> </w:t>
      </w:r>
      <w:r>
        <w:t xml:space="preserve">clinical</w:t>
      </w:r>
      <w:r>
        <w:t xml:space="preserve"> </w:t>
      </w:r>
      <w:r>
        <w:t xml:space="preserve">risk</w:t>
      </w:r>
      <w:r>
        <w:t xml:space="preserve"> </w:t>
      </w:r>
      <w:r>
        <w:t xml:space="preserve">model</w:t>
      </w:r>
      <w:r>
        <w:t xml:space="preserve"> </w:t>
      </w:r>
      <w:r>
        <w:t xml:space="preserve">without</w:t>
      </w:r>
      <w:r>
        <w:t xml:space="preserve"> </w:t>
      </w:r>
      <w:r>
        <w:t xml:space="preserve">exchanging</w:t>
      </w:r>
      <w:r>
        <w:t xml:space="preserve"> </w:t>
      </w:r>
      <w:r>
        <w:t xml:space="preserve">patient</w:t>
      </w:r>
      <w:r>
        <w:t xml:space="preserve"> </w:t>
      </w:r>
      <w:r>
        <w:t xml:space="preserve">records,</w:t>
      </w:r>
      <w:r>
        <w:t xml:space="preserve"> </w:t>
      </w:r>
      <w:r>
        <w:t xml:space="preserve">but</w:t>
      </w:r>
      <w:r>
        <w:t xml:space="preserve"> </w:t>
      </w:r>
      <w:r>
        <w:t xml:space="preserve">standard</w:t>
      </w:r>
      <w:r>
        <w:t xml:space="preserve"> </w:t>
      </w:r>
      <w:r>
        <w:t xml:space="preserve">aggregation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FedAvg</w:t>
      </w:r>
      <w:r>
        <w:t xml:space="preserve"> </w:t>
      </w:r>
      <w:r>
        <w:t xml:space="preserve">assumes</w:t>
      </w:r>
      <w:r>
        <w:t xml:space="preserve"> </w:t>
      </w:r>
      <w:r>
        <w:t xml:space="preserve">every</w:t>
      </w:r>
      <w:r>
        <w:t xml:space="preserve"> </w:t>
      </w:r>
      <w:r>
        <w:t xml:space="preserve">participant</w:t>
      </w:r>
      <w:r>
        <w:t xml:space="preserve"> </w:t>
      </w:r>
      <w:r>
        <w:t xml:space="preserve">is</w:t>
      </w:r>
      <w:r>
        <w:t xml:space="preserve"> </w:t>
      </w:r>
      <w:r>
        <w:t xml:space="preserve">honest.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institution</w:t>
      </w:r>
      <w:r>
        <w:t xml:space="preserve"> </w:t>
      </w:r>
      <w:r>
        <w:t xml:space="preserve">that</w:t>
      </w:r>
      <w:r>
        <w:t xml:space="preserve"> </w:t>
      </w:r>
      <w:r>
        <w:t xml:space="preserve">submits</w:t>
      </w:r>
      <w:r>
        <w:t xml:space="preserve"> </w:t>
      </w:r>
      <w:r>
        <w:t xml:space="preserve">poisoned</w:t>
      </w:r>
      <w:r>
        <w:t xml:space="preserve"> </w:t>
      </w:r>
      <w:r>
        <w:t xml:space="preserve">updates</w:t>
      </w:r>
      <w:r>
        <w:t xml:space="preserve"> </w:t>
      </w:r>
      <w:r>
        <w:t xml:space="preserve">can</w:t>
      </w:r>
      <w:r>
        <w:t xml:space="preserve"> </w:t>
      </w:r>
      <w:r>
        <w:t xml:space="preserve">degrade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model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participants,</w:t>
      </w:r>
      <w:r>
        <w:t xml:space="preserve"> </w:t>
      </w:r>
      <w:r>
        <w:t xml:space="preserve">and</w:t>
      </w:r>
      <w:r>
        <w:t xml:space="preserve"> </w:t>
      </w:r>
      <w:r>
        <w:t xml:space="preserve">conventional</w:t>
      </w:r>
      <w:r>
        <w:t xml:space="preserve"> </w:t>
      </w:r>
      <w:r>
        <w:t xml:space="preserve">defences</w:t>
      </w:r>
      <w:r>
        <w:t xml:space="preserve"> </w:t>
      </w:r>
      <w:r>
        <w:t xml:space="preserve">based</w:t>
      </w:r>
      <w:r>
        <w:t xml:space="preserve"> </w:t>
      </w:r>
      <w:r>
        <w:t xml:space="preserve">only</w:t>
      </w:r>
      <w:r>
        <w:t xml:space="preserve"> </w:t>
      </w:r>
      <w:r>
        <w:t xml:space="preserve">on</w:t>
      </w:r>
      <w:r>
        <w:t xml:space="preserve"> </w:t>
      </w:r>
      <w:r>
        <w:t xml:space="preserve">update</w:t>
      </w:r>
      <w:r>
        <w:t xml:space="preserve"> </w:t>
      </w:r>
      <w:r>
        <w:t xml:space="preserve">geometry</w:t>
      </w:r>
      <w:r>
        <w:t xml:space="preserve"> </w:t>
      </w:r>
      <w:r>
        <w:t xml:space="preserve">become</w:t>
      </w:r>
      <w:r>
        <w:t xml:space="preserve"> </w:t>
      </w:r>
      <w:r>
        <w:t xml:space="preserve">unreliable</w:t>
      </w:r>
      <w:r>
        <w:t xml:space="preserve"> </w:t>
      </w:r>
      <w:r>
        <w:t xml:space="preserve">when</w:t>
      </w:r>
      <w:r>
        <w:t xml:space="preserve"> </w:t>
      </w:r>
      <w:r>
        <w:t xml:space="preserve">client</w:t>
      </w:r>
      <w:r>
        <w:t xml:space="preserve"> </w:t>
      </w:r>
      <w:r>
        <w:t xml:space="preserve">data</w:t>
      </w:r>
      <w:r>
        <w:t xml:space="preserve"> </w:t>
      </w:r>
      <w:r>
        <w:t xml:space="preserve">are</w:t>
      </w:r>
      <w:r>
        <w:t xml:space="preserve"> </w:t>
      </w:r>
      <w:r>
        <w:t xml:space="preserve">strongly</w:t>
      </w:r>
      <w:r>
        <w:t xml:space="preserve"> </w:t>
      </w:r>
      <w:r>
        <w:t xml:space="preserve">non-independent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identically</w:t>
      </w:r>
      <w:r>
        <w:t xml:space="preserve"> </w:t>
      </w:r>
      <w:r>
        <w:t xml:space="preserve">distributed</w:t>
      </w:r>
      <w:r>
        <w:t xml:space="preserve"> </w:t>
      </w:r>
      <w:r>
        <w:t xml:space="preserve">(non-IID).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TA-EFL,</w:t>
      </w:r>
      <w:r>
        <w:t xml:space="preserve"> </w:t>
      </w:r>
      <w:r>
        <w:t xml:space="preserve">a</w:t>
      </w:r>
      <w:r>
        <w:t xml:space="preserve"> </w:t>
      </w:r>
      <w:r>
        <w:t xml:space="preserve">trust-aware</w:t>
      </w:r>
      <w:r>
        <w:t xml:space="preserve"> </w:t>
      </w:r>
      <w:r>
        <w:t xml:space="preserve">and</w:t>
      </w:r>
      <w:r>
        <w:t xml:space="preserve"> </w:t>
      </w:r>
      <w:r>
        <w:t xml:space="preserve">explainable</w:t>
      </w:r>
      <w:r>
        <w:t xml:space="preserve"> </w:t>
      </w:r>
      <w:r>
        <w:t xml:space="preserve">federated</w:t>
      </w:r>
      <w:r>
        <w:t xml:space="preserve"> </w:t>
      </w:r>
      <w:r>
        <w:t xml:space="preserve">framework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server</w:t>
      </w:r>
      <w:r>
        <w:t xml:space="preserve"> </w:t>
      </w:r>
      <w:r>
        <w:t xml:space="preserve">derives</w:t>
      </w:r>
      <w:r>
        <w:t xml:space="preserve"> </w:t>
      </w:r>
      <w:r>
        <w:t xml:space="preserve">a</w:t>
      </w:r>
      <w:r>
        <w:t xml:space="preserve"> </w:t>
      </w:r>
      <w:r>
        <w:t xml:space="preserve">per-client</w:t>
      </w:r>
      <w:r>
        <w:t xml:space="preserve"> </w:t>
      </w:r>
      <w:r>
        <w:t xml:space="preserve">trust</w:t>
      </w:r>
      <w:r>
        <w:t xml:space="preserve"> </w:t>
      </w:r>
      <w:r>
        <w:t xml:space="preserve">score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extrapolated</w:t>
      </w:r>
      <w:r>
        <w:rPr>
          <w:i/>
        </w:rPr>
        <w:t xml:space="preserve"> </w:t>
      </w:r>
      <w:r>
        <w:rPr>
          <w:i/>
        </w:rPr>
        <w:t xml:space="preserve">attribution</w:t>
      </w:r>
      <w:r>
        <w:rPr>
          <w:i/>
        </w:rPr>
        <w:t xml:space="preserve"> </w:t>
      </w:r>
      <w:r>
        <w:rPr>
          <w:i/>
        </w:rPr>
        <w:t xml:space="preserve">signature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submitted</w:t>
      </w:r>
      <w:r>
        <w:t xml:space="preserve"> </w:t>
      </w:r>
      <w:r>
        <w:t xml:space="preserve">parameter</w:t>
      </w:r>
      <w:r>
        <w:t xml:space="preserve"> </w:t>
      </w:r>
      <w:r>
        <w:t xml:space="preserve">vector,</w:t>
      </w:r>
      <w:r>
        <w:t xml:space="preserve"> </w:t>
      </w:r>
      <w:r>
        <w:t xml:space="preserve">evaluated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shared</w:t>
      </w:r>
      <w:r>
        <w:t xml:space="preserve"> </w:t>
      </w:r>
      <w:r>
        <w:t xml:space="preserve">public</w:t>
      </w:r>
      <w:r>
        <w:t xml:space="preserve"> </w:t>
      </w:r>
      <w:r>
        <w:t xml:space="preserve">reference</w:t>
      </w:r>
      <w:r>
        <w:t xml:space="preserve"> </w:t>
      </w:r>
      <w:r>
        <w:t xml:space="preserve">set,</w:t>
      </w:r>
      <w:r>
        <w:t xml:space="preserve"> </w:t>
      </w:r>
      <w:r>
        <w:t xml:space="preserve">and</w:t>
      </w:r>
      <w:r>
        <w:t xml:space="preserve"> </w:t>
      </w:r>
      <w:r>
        <w:t xml:space="preserve">aggregates</w:t>
      </w:r>
      <w:r>
        <w:t xml:space="preserve"> </w:t>
      </w:r>
      <w:r>
        <w:t xml:space="preserve">updates</w:t>
      </w:r>
      <w:r>
        <w:t xml:space="preserve"> </w:t>
      </w:r>
      <w:r>
        <w:t xml:space="preserve">in</w:t>
      </w:r>
      <w:r>
        <w:t xml:space="preserve"> </w:t>
      </w:r>
      <w:r>
        <w:t xml:space="preserve">proportion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sSubSup>
          <m:e>
            <m:r>
              <m:t>T</m:t>
            </m:r>
          </m:e>
          <m:sub>
            <m:r>
              <m:t>k</m:t>
            </m:r>
          </m:sub>
          <m:sup>
            <m:r>
              <m:t>γ</m:t>
            </m:r>
          </m:sup>
        </m:sSub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signature</w:t>
      </w:r>
      <w:r>
        <w:t xml:space="preserve"> </w:t>
      </w:r>
      <w:r>
        <w:t xml:space="preserve">is</w:t>
      </w:r>
      <w:r>
        <w:t xml:space="preserve"> </w:t>
      </w:r>
      <w:r>
        <w:t xml:space="preserve">recomputed</w:t>
      </w:r>
      <w:r>
        <w:t xml:space="preserve"> </w:t>
      </w:r>
      <w:r>
        <w:t xml:space="preserve">server-side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weights</w:t>
      </w:r>
      <w:r>
        <w:t xml:space="preserve"> </w:t>
      </w:r>
      <w:r>
        <w:t xml:space="preserve">a</w:t>
      </w:r>
      <w:r>
        <w:t xml:space="preserve"> </w:t>
      </w:r>
      <w:r>
        <w:t xml:space="preserve">client</w:t>
      </w:r>
      <w:r>
        <w:t xml:space="preserve"> </w:t>
      </w:r>
      <w:r>
        <w:t xml:space="preserve">actually</w:t>
      </w:r>
      <w:r>
        <w:t xml:space="preserve"> </w:t>
      </w:r>
      <w:r>
        <w:t xml:space="preserve">submits,</w:t>
      </w:r>
      <w:r>
        <w:t xml:space="preserve"> </w:t>
      </w:r>
      <w:r>
        <w:t xml:space="preserve">it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spoofed</w:t>
      </w:r>
      <w:r>
        <w:t xml:space="preserve"> </w:t>
      </w:r>
      <w:r>
        <w:t xml:space="preserve">by</w:t>
      </w:r>
      <w:r>
        <w:t xml:space="preserve"> </w:t>
      </w:r>
      <w:r>
        <w:t xml:space="preserve">reporting</w:t>
      </w:r>
      <w:r>
        <w:t xml:space="preserve"> </w:t>
      </w:r>
      <w:r>
        <w:t xml:space="preserve">fabricated</w:t>
      </w:r>
      <w:r>
        <w:t xml:space="preserve"> </w:t>
      </w:r>
      <w:r>
        <w:t xml:space="preserve">explanations.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is</w:t>
      </w:r>
      <w:r>
        <w:t xml:space="preserve"> </w:t>
      </w:r>
      <w:r>
        <w:t xml:space="preserve">implemented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Flower</w:t>
      </w:r>
      <w:r>
        <w:t xml:space="preserve"> </w:t>
      </w:r>
      <w:r>
        <w:t xml:space="preserve">FL</w:t>
      </w:r>
      <w:r>
        <w:t xml:space="preserve"> </w:t>
      </w:r>
      <w:r>
        <w:t xml:space="preserve">framework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logistic-regression</w:t>
      </w:r>
      <w:r>
        <w:t xml:space="preserve"> </w:t>
      </w:r>
      <w:r>
        <w:t xml:space="preserve">risk</w:t>
      </w:r>
      <w:r>
        <w:t xml:space="preserve"> </w:t>
      </w:r>
      <w:r>
        <w:t xml:space="preserve">model</w:t>
      </w:r>
      <w:r>
        <w:t xml:space="preserve"> </w:t>
      </w:r>
      <w:r>
        <w:t xml:space="preserve">whose</w:t>
      </w:r>
      <w:r>
        <w:t xml:space="preserve"> </w:t>
      </w:r>
      <w:r>
        <w:t xml:space="preserve">exact</w:t>
      </w:r>
      <w:r>
        <w:t xml:space="preserve"> </w:t>
      </w:r>
      <w:r>
        <w:t xml:space="preserve">closed-form</w:t>
      </w:r>
      <w:r>
        <w:t xml:space="preserve"> </w:t>
      </w:r>
      <w:r>
        <w:t xml:space="preserve">SHAP</w:t>
      </w:r>
      <w:r>
        <w:t xml:space="preserve"> </w:t>
      </w:r>
      <w:r>
        <w:t xml:space="preserve">values</w:t>
      </w:r>
      <w:r>
        <w:t xml:space="preserve"> </w:t>
      </w:r>
      <w:r>
        <w:t xml:space="preserve">provide</w:t>
      </w:r>
      <w:r>
        <w:t xml:space="preserve"> </w:t>
      </w:r>
      <w:r>
        <w:t xml:space="preserve">per-patient</w:t>
      </w:r>
      <w:r>
        <w:t xml:space="preserve"> </w:t>
      </w:r>
      <w:r>
        <w:t xml:space="preserve">explanations.</w:t>
      </w:r>
      <w:r>
        <w:t xml:space="preserve"> </w:t>
      </w:r>
      <w:r>
        <w:t xml:space="preserve">Across</w:t>
      </w:r>
      <w:r>
        <w:t xml:space="preserve"> </w:t>
      </w:r>
      <w:r>
        <w:t xml:space="preserve">five</w:t>
      </w:r>
      <w:r>
        <w:t xml:space="preserve"> </w:t>
      </w:r>
      <w:r>
        <w:t xml:space="preserve">tabular</w:t>
      </w:r>
      <w:r>
        <w:t xml:space="preserve"> </w:t>
      </w:r>
      <w:r>
        <w:t xml:space="preserve">clinical</w:t>
      </w:r>
      <w:r>
        <w:t xml:space="preserve"> </w:t>
      </w:r>
      <w:r>
        <w:t xml:space="preserve">prediction</w:t>
      </w:r>
      <w:r>
        <w:t xml:space="preserve"> </w:t>
      </w:r>
      <w:r>
        <w:t xml:space="preserve">tasks</w:t>
      </w:r>
      <w:r>
        <w:t xml:space="preserve"> </w:t>
      </w:r>
      <w:r>
        <w:t xml:space="preserve">and</w:t>
      </w:r>
      <w:r>
        <w:t xml:space="preserve"> </w:t>
      </w:r>
      <w:r>
        <w:t xml:space="preserve">six</w:t>
      </w:r>
      <w:r>
        <w:t xml:space="preserve"> </w:t>
      </w:r>
      <w:r>
        <w:t xml:space="preserve">experiments,</w:t>
      </w:r>
      <w:r>
        <w:t xml:space="preserve"> </w:t>
      </w:r>
      <w:r>
        <w:t xml:space="preserve">trust-weighted</w:t>
      </w:r>
      <w:r>
        <w:t xml:space="preserve"> </w:t>
      </w:r>
      <w:r>
        <w:t xml:space="preserve">aggregation</w:t>
      </w:r>
      <w:r>
        <w:t xml:space="preserve"> </w:t>
      </w:r>
      <w:r>
        <w:t xml:space="preserve">retains</w:t>
      </w:r>
      <w:r>
        <w:t xml:space="preserve"> </w:t>
      </w:r>
      <w:r>
        <w:t xml:space="preserve">an</w:t>
      </w:r>
      <w:r>
        <w:t xml:space="preserve"> </w:t>
      </w:r>
      <w:r>
        <w:t xml:space="preserve">area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ROC</w:t>
      </w:r>
      <w:r>
        <w:t xml:space="preserve"> </w:t>
      </w:r>
      <w:r>
        <w:t xml:space="preserve">curve</w:t>
      </w:r>
      <w:r>
        <w:t xml:space="preserve"> </w:t>
      </w:r>
      <w:r>
        <w:t xml:space="preserve">(AUC)</w:t>
      </w:r>
      <w:r>
        <w:t xml:space="preserve"> </w:t>
      </w:r>
      <w:r>
        <w:t xml:space="preserve">of</w:t>
      </w:r>
      <w:r>
        <w:t xml:space="preserve"> </w:t>
      </w:r>
      <m:oMath>
        <m:r>
          <m:t>0.810</m:t>
        </m:r>
        <m:r>
          <m:t>±</m:t>
        </m:r>
        <m:r>
          <m:t>0.018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two</w:t>
      </w:r>
      <w:r>
        <w:t xml:space="preserve"> </w:t>
      </w:r>
      <w:r>
        <w:t xml:space="preserve">of</w:t>
      </w:r>
      <w:r>
        <w:t xml:space="preserve"> </w:t>
      </w:r>
      <w:r>
        <w:t xml:space="preserve">six</w:t>
      </w:r>
      <w:r>
        <w:t xml:space="preserve"> </w:t>
      </w:r>
      <w:r>
        <w:t xml:space="preserve">clients</w:t>
      </w:r>
      <w:r>
        <w:t xml:space="preserve"> </w:t>
      </w:r>
      <w:r>
        <w:t xml:space="preserve">malicious,</w:t>
      </w:r>
      <w:r>
        <w:t xml:space="preserve"> </w:t>
      </w:r>
      <w:r>
        <w:t xml:space="preserve">where</w:t>
      </w:r>
      <w:r>
        <w:t xml:space="preserve"> </w:t>
      </w:r>
      <w:r>
        <w:t xml:space="preserve">FedAvg</w:t>
      </w:r>
      <w:r>
        <w:t xml:space="preserve"> </w:t>
      </w:r>
      <w:r>
        <w:t xml:space="preserve">falls</w:t>
      </w:r>
      <w:r>
        <w:t xml:space="preserve"> </w:t>
      </w:r>
      <w:r>
        <w:t xml:space="preserve">to</w:t>
      </w:r>
      <w:r>
        <w:t xml:space="preserve"> </w:t>
      </w:r>
      <m:oMath>
        <m:r>
          <m:t>0.769</m:t>
        </m:r>
        <m:r>
          <m:t>±</m:t>
        </m:r>
        <m:r>
          <m:t>0.067</m:t>
        </m:r>
      </m:oMath>
      <w:r>
        <w:t xml:space="preserve">;</w:t>
      </w:r>
      <w:r>
        <w:t xml:space="preserve"> </w:t>
      </w:r>
      <w:r>
        <w:t xml:space="preserve">an</w:t>
      </w:r>
      <w:r>
        <w:t xml:space="preserve"> </w:t>
      </w:r>
      <w:r>
        <w:t xml:space="preserve">extrapolation</w:t>
      </w:r>
      <w:r>
        <w:t xml:space="preserve"> </w:t>
      </w:r>
      <w:r>
        <w:t xml:space="preserve">factor</w:t>
      </w:r>
      <w:r>
        <w:t xml:space="preserve"> </w:t>
      </w:r>
      <w:r>
        <w:t xml:space="preserve">of</w:t>
      </w:r>
      <w:r>
        <w:t xml:space="preserve"> </w:t>
      </w:r>
      <m:oMath>
        <m:r>
          <m:t>κ</m:t>
        </m:r>
        <m:r>
          <m:t>=</m:t>
        </m:r>
        <m:r>
          <m:t>4</m:t>
        </m:r>
      </m:oMath>
      <w:r>
        <w:t xml:space="preserve"> </w:t>
      </w:r>
      <w:r>
        <w:t xml:space="preserve">raises</w:t>
      </w:r>
      <w:r>
        <w:t xml:space="preserve"> </w:t>
      </w:r>
      <w:r>
        <w:t xml:space="preserve">the</w:t>
      </w:r>
      <w:r>
        <w:t xml:space="preserve"> </w:t>
      </w:r>
      <w:r>
        <w:t xml:space="preserve">honest/attacker</w:t>
      </w:r>
      <w:r>
        <w:t xml:space="preserve"> </w:t>
      </w:r>
      <w:r>
        <w:t xml:space="preserve">separation</w:t>
      </w:r>
      <w:r>
        <w:t xml:space="preserve"> </w:t>
      </w:r>
      <w:r>
        <w:t xml:space="preserve">margin</w:t>
      </w:r>
      <w:r>
        <w:t xml:space="preserve"> </w:t>
      </w:r>
      <w:r>
        <w:t xml:space="preserve">to</w:t>
      </w:r>
      <w:r>
        <w:t xml:space="preserve"> </w:t>
      </w:r>
      <m:oMath>
        <m:r>
          <m:t>+</m:t>
        </m:r>
        <m:r>
          <m:t>0.807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+</m:t>
        </m:r>
        <m:r>
          <m:t>0.066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κ</m:t>
        </m:r>
        <m: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t xml:space="preserve">sensitivity</w:t>
      </w:r>
      <w:r>
        <w:t xml:space="preserve"> </w:t>
      </w:r>
      <w:r>
        <w:t xml:space="preserve">sweep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trust-weighting</w:t>
      </w:r>
      <w:r>
        <w:t xml:space="preserve"> </w:t>
      </w:r>
      <w:r>
        <w:t xml:space="preserve">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shows</w:t>
      </w:r>
      <w:r>
        <w:t xml:space="preserve"> </w:t>
      </w:r>
      <w:r>
        <w:t xml:space="preserve">that,</w:t>
      </w:r>
      <w:r>
        <w:t xml:space="preserve"> </w:t>
      </w:r>
      <w:r>
        <w:rPr>
          <w:i/>
        </w:rPr>
        <w:t xml:space="preserve">in</w:t>
      </w:r>
      <w:r>
        <w:rPr>
          <w:i/>
        </w:rPr>
        <w:t xml:space="preserve"> </w:t>
      </w:r>
      <w:r>
        <w:rPr>
          <w:i/>
        </w:rPr>
        <w:t xml:space="preserve">this</w:t>
      </w:r>
      <w:r>
        <w:rPr>
          <w:i/>
        </w:rPr>
        <w:t xml:space="preserve"> </w:t>
      </w:r>
      <w:r>
        <w:rPr>
          <w:i/>
        </w:rPr>
        <w:t xml:space="preserve">experimental</w:t>
      </w:r>
      <w:r>
        <w:rPr>
          <w:i/>
        </w:rPr>
        <w:t xml:space="preserve"> </w:t>
      </w:r>
      <w:r>
        <w:rPr>
          <w:i/>
        </w:rPr>
        <w:t xml:space="preserve">configuration</w:t>
      </w:r>
      <w:r>
        <w:t xml:space="preserve">,</w:t>
      </w:r>
      <w:r>
        <w:t xml:space="preserve"> </w:t>
      </w:r>
      <w:r>
        <w:t xml:space="preserve">relying</w:t>
      </w:r>
      <w:r>
        <w:t xml:space="preserve"> </w:t>
      </w:r>
      <w:r>
        <w:t xml:space="preserve">on</w:t>
      </w:r>
      <w:r>
        <w:t xml:space="preserve"> </w:t>
      </w:r>
      <w:r>
        <w:t xml:space="preserve">explanation</w:t>
      </w:r>
      <w:r>
        <w:t xml:space="preserve"> </w:t>
      </w:r>
      <w:r>
        <w:t xml:space="preserve">consistency</w:t>
      </w:r>
      <w:r>
        <w:t xml:space="preserve"> </w:t>
      </w:r>
      <w:r>
        <w:t xml:space="preserve">alone</w:t>
      </w:r>
      <w:r>
        <w:t xml:space="preserve"> </w:t>
      </w:r>
      <w:r>
        <w:t xml:space="preserve">(</w:t>
      </w:r>
      <m:oMath>
        <m:r>
          <m:t>α</m:t>
        </m:r>
        <m: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gives</w:t>
      </w:r>
      <w:r>
        <w:t xml:space="preserve"> </w:t>
      </w:r>
      <w:r>
        <w:t xml:space="preserve">the</w:t>
      </w:r>
      <w:r>
        <w:t xml:space="preserve"> </w:t>
      </w:r>
      <w:r>
        <w:t xml:space="preserve">largest</w:t>
      </w:r>
      <w:r>
        <w:t xml:space="preserve"> </w:t>
      </w:r>
      <w:r>
        <w:t xml:space="preserve">separation</w:t>
      </w:r>
      <w:r>
        <w:t xml:space="preserve"> </w:t>
      </w:r>
      <w:r>
        <w:t xml:space="preserve">margin,</w:t>
      </w:r>
      <w:r>
        <w:t xml:space="preserve"> </w:t>
      </w:r>
      <w:r>
        <w:t xml:space="preserve">while</w:t>
      </w:r>
      <w:r>
        <w:t xml:space="preserve"> </w:t>
      </w:r>
      <w:r>
        <w:t xml:space="preserve">AUC</w:t>
      </w:r>
      <w:r>
        <w:t xml:space="preserve"> </w:t>
      </w:r>
      <w:r>
        <w:t xml:space="preserve">varies</w:t>
      </w:r>
      <w:r>
        <w:t xml:space="preserve"> </w:t>
      </w:r>
      <w:r>
        <w:t xml:space="preserve">little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sweep.</w:t>
      </w:r>
      <w:r>
        <w:t xml:space="preserve"> </w:t>
      </w:r>
      <w:r>
        <w:t xml:space="preserve">All</w:t>
      </w:r>
      <w:r>
        <w:t xml:space="preserve"> </w:t>
      </w:r>
      <w:r>
        <w:t xml:space="preserve">datasets</w:t>
      </w:r>
      <w:r>
        <w:t xml:space="preserve"> </w:t>
      </w:r>
      <w:r>
        <w:t xml:space="preserve">are</w:t>
      </w:r>
      <w:r>
        <w:t xml:space="preserve"> </w:t>
      </w:r>
      <w:r>
        <w:t xml:space="preserve">public</w:t>
      </w:r>
      <w:r>
        <w:t xml:space="preserve"> </w:t>
      </w:r>
      <w:r>
        <w:t xml:space="preserve">or</w:t>
      </w:r>
      <w:r>
        <w:t xml:space="preserve"> </w:t>
      </w:r>
      <w:r>
        <w:t xml:space="preserve">synthetic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hospitals</w:t>
      </w:r>
      <w:r>
        <w:t xml:space="preserve"> </w:t>
      </w:r>
      <w:r>
        <w:t xml:space="preserve">are</w:t>
      </w:r>
      <w:r>
        <w:t xml:space="preserve"> </w:t>
      </w:r>
      <w:r>
        <w:t xml:space="preserve">simulated;</w:t>
      </w:r>
      <w:r>
        <w:t xml:space="preserve"> </w:t>
      </w:r>
      <w:r>
        <w:t xml:space="preserve">the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research</w:t>
      </w:r>
      <w:r>
        <w:t xml:space="preserve"> </w:t>
      </w:r>
      <w:r>
        <w:t xml:space="preserve">prototype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outputs</w:t>
      </w:r>
      <w:r>
        <w:t xml:space="preserve"> </w:t>
      </w:r>
      <w:r>
        <w:t xml:space="preserve">are</w:t>
      </w:r>
      <w:r>
        <w:t xml:space="preserve"> </w:t>
      </w:r>
      <w:r>
        <w:t xml:space="preserve">risk</w:t>
      </w:r>
      <w:r>
        <w:t xml:space="preserve"> </w:t>
      </w:r>
      <w:r>
        <w:t xml:space="preserve">estimates,</w:t>
      </w:r>
      <w:r>
        <w:t xml:space="preserve"> </w:t>
      </w:r>
      <w:r>
        <w:t xml:space="preserve">not</w:t>
      </w:r>
      <w:r>
        <w:t xml:space="preserve"> </w:t>
      </w:r>
      <w:r>
        <w:t xml:space="preserve">medical</w:t>
      </w:r>
      <w:r>
        <w:t xml:space="preserve"> </w:t>
      </w:r>
      <w:r>
        <w:t xml:space="preserve">diagnoses.</w:t>
      </w:r>
    </w:p>
    <w:p>
      <w:pPr>
        <w:pStyle w:val="FirstParagraph"/>
      </w:pPr>
      <w:r>
        <w:rPr>
          <w:b/>
        </w:rPr>
        <w:t xml:space="preserve">Index Terms</w:t>
      </w:r>
      <w:r>
        <w:t xml:space="preserve">—</w:t>
      </w:r>
      <w:r>
        <w:t xml:space="preserve"> </w:t>
      </w:r>
      <w:r>
        <w:t xml:space="preserve">Federated learning, trust-aware aggregation, model poisoning, explainable</w:t>
      </w:r>
      <w:r>
        <w:t xml:space="preserve"> </w:t>
      </w:r>
      <w:r>
        <w:t xml:space="preserve">artificial intelligence, SHAP, healthcare risk prediction, non-IID data.</w:t>
      </w:r>
    </w:p>
    <w:p>
      <w:pPr>
        <w:pStyle w:val="Heading1"/>
        <w:jc w:val="center"/>
      </w:pPr>
      <w:bookmarkStart w:id="20" w:name="introduction"/>
      <w:r>
        <w:rPr>
          <w:rFonts w:ascii="Times New Roman" w:hAnsi="Times New Roman"/>
          <w:b w:val="0"/>
          <w:sz w:val="20"/>
        </w:rPr>
        <w:t>I.  INTRODUCTION</w:t>
      </w:r>
      <w:bookmarkEnd w:id="20"/>
    </w:p>
    <w:p>
      <w:pPr>
        <w:pStyle w:val="FirstParagraph"/>
      </w:pPr>
      <w:r>
        <w:t xml:space="preserve">Clinical risk prediction models are most useful when they are trained on</w:t>
      </w:r>
      <w:r>
        <w:t xml:space="preserve"> </w:t>
      </w:r>
      <w:r>
        <w:t xml:space="preserve">data from many institutions, because a single hospital rarely observes a</w:t>
      </w:r>
      <w:r>
        <w:t xml:space="preserve"> </w:t>
      </w:r>
      <w:r>
        <w:t xml:space="preserve">patient population that is broad enough to support a model that generalises.</w:t>
      </w:r>
      <w:r>
        <w:t xml:space="preserve"> </w:t>
      </w:r>
      <w:r>
        <w:t xml:space="preserve">Patient records, however, are among the most tightly regulated categories of</w:t>
      </w:r>
      <w:r>
        <w:t xml:space="preserve"> </w:t>
      </w:r>
      <w:r>
        <w:t xml:space="preserve">personal data, and centralising them across institutional boundaries is often</w:t>
      </w:r>
      <w:r>
        <w:t xml:space="preserve"> </w:t>
      </w:r>
      <w:r>
        <w:t xml:space="preserve">legally and practically infeasible.</w:t>
      </w:r>
    </w:p>
    <w:p>
      <w:pPr>
        <w:pStyle w:val="BodyText"/>
      </w:pPr>
      <w:r>
        <w:t xml:space="preserve">Federated learning (FL) addresses this tension by moving computation to the</w:t>
      </w:r>
      <w:r>
        <w:t xml:space="preserve"> </w:t>
      </w:r>
      <w:r>
        <w:t xml:space="preserve">data [1, 2]. Each participating hospital trains on</w:t>
      </w:r>
      <w:r>
        <w:t xml:space="preserve"> </w:t>
      </w:r>
      <w:r>
        <w:t xml:space="preserve">its own records and transmits only model parameters; a coordinating server</w:t>
      </w:r>
      <w:r>
        <w:t xml:space="preserve"> </w:t>
      </w:r>
      <w:r>
        <w:t xml:space="preserve">aggregates those parameters into a global model. FL has attracted sustained</w:t>
      </w:r>
      <w:r>
        <w:t xml:space="preserve"> </w:t>
      </w:r>
      <w:r>
        <w:t xml:space="preserve">interest in healthcare precisely because it offers multi-institution scale</w:t>
      </w:r>
      <w:r>
        <w:t xml:space="preserve"> </w:t>
      </w:r>
      <w:r>
        <w:t xml:space="preserve">without a central data repository [3, 4, 5]. A recent systematic review of 612 studies confirms both the breadth of this activity and how little of it has reached deployment: only 5.2% of the surveyed work reports a real-world application [6].</w:t>
      </w:r>
    </w:p>
    <w:p>
      <w:pPr>
        <w:pStyle w:val="BodyText"/>
      </w:pPr>
      <w:r>
        <w:t xml:space="preserve">Two problems limit the direct application of FL to clinical settings.</w:t>
      </w:r>
    </w:p>
    <w:p>
      <w:pPr>
        <w:pStyle w:val="BodyText"/>
      </w:pPr>
      <w:r>
        <w:t xml:space="preserve">First, aggregation is trusting by construction. FedAvg [1]</w:t>
      </w:r>
      <w:r>
        <w:t xml:space="preserve"> </w:t>
      </w:r>
      <w:r>
        <w:t xml:space="preserve">computes a sample-size weighted mean of client parameters and therefore</w:t>
      </w:r>
      <w:r>
        <w:t xml:space="preserve"> </w:t>
      </w:r>
      <w:r>
        <w:t xml:space="preserve">grants an adversarial participant influence in proportion to its claimed</w:t>
      </w:r>
      <w:r>
        <w:t xml:space="preserve"> </w:t>
      </w:r>
      <w:r>
        <w:t xml:space="preserve">dataset size. Label flipping, additive noise and scaled model poisoning are</w:t>
      </w:r>
      <w:r>
        <w:t xml:space="preserve"> </w:t>
      </w:r>
      <w:r>
        <w:t xml:space="preserve">all straightforward to implement by a participating institution</w:t>
      </w:r>
      <w:r>
        <w:t xml:space="preserve"> </w:t>
      </w:r>
      <w:r>
        <w:t xml:space="preserve">[7, 8, 9], and recent surveys catalogue the resulting attack surface in detail [10]. Byzantine-robust aggregation</w:t>
      </w:r>
      <w:r>
        <w:t xml:space="preserve"> </w:t>
      </w:r>
      <w:r>
        <w:t xml:space="preserve">rules such as Krum [11] and the coordinate-wise median</w:t>
      </w:r>
      <w:r>
        <w:t xml:space="preserve"> </w:t>
      </w:r>
      <w:r>
        <w:t xml:space="preserve">[12] reduce this exposure by treating outlying updates as</w:t>
      </w:r>
      <w:r>
        <w:t xml:space="preserve"> </w:t>
      </w:r>
      <w:r>
        <w:t xml:space="preserve">suspicious, but they infer malice from the geometry of the update alone. In</w:t>
      </w:r>
      <w:r>
        <w:t xml:space="preserve"> </w:t>
      </w:r>
      <w:r>
        <w:t xml:space="preserve">healthcare, client distributions genuinely differ—a tertiary cardiac centre</w:t>
      </w:r>
      <w:r>
        <w:t xml:space="preserve"> </w:t>
      </w:r>
      <w:r>
        <w:t xml:space="preserve">and a rural clinic legitimately produce dissimilar updates—so</w:t>
      </w:r>
      <w:r>
        <w:t xml:space="preserve"> </w:t>
      </w:r>
      <w:r>
        <w:t xml:space="preserve">geometry-based outlier rejection risks penalising honest heterogeneity</w:t>
      </w:r>
      <w:r>
        <w:t xml:space="preserve"> </w:t>
      </w:r>
      <w:r>
        <w:t xml:space="preserve">[13].</w:t>
      </w:r>
    </w:p>
    <w:p>
      <w:pPr>
        <w:pStyle w:val="BodyText"/>
      </w:pPr>
      <w:r>
        <w:t xml:space="preserve">Second, a model that influences clinical thinking must be interpretable. Post</w:t>
      </w:r>
      <w:r>
        <w:t xml:space="preserve"> </w:t>
      </w:r>
      <w:r>
        <w:t xml:space="preserve">hoc attribution methods, particularly SHAP [14], grounded</w:t>
      </w:r>
      <w:r>
        <w:t xml:space="preserve"> </w:t>
      </w:r>
      <w:r>
        <w:t xml:space="preserve">in the Shapley value [15], are now standard for explaining</w:t>
      </w:r>
      <w:r>
        <w:t xml:space="preserve"> </w:t>
      </w:r>
      <w:r>
        <w:t xml:space="preserve">individual predictions, and the wider explainable AI literature argues that</w:t>
      </w:r>
      <w:r>
        <w:t xml:space="preserve"> </w:t>
      </w:r>
      <w:r>
        <w:t xml:space="preserve">high-stakes decisions require faithful explanations rather than plausible</w:t>
      </w:r>
      <w:r>
        <w:t xml:space="preserve"> </w:t>
      </w:r>
      <w:r>
        <w:t xml:space="preserve">narratives [16, 17, 18]. In federated</w:t>
      </w:r>
      <w:r>
        <w:t xml:space="preserve"> </w:t>
      </w:r>
      <w:r>
        <w:t xml:space="preserve">settings, explanations are usually treated purely as an output artefact</w:t>
      </w:r>
      <w:r>
        <w:t xml:space="preserve"> </w:t>
      </w:r>
      <w:r>
        <w:t xml:space="preserve">presented to clinicians after training has finished.</w:t>
      </w:r>
    </w:p>
    <w:p>
      <w:pPr>
        <w:pStyle w:val="BodyText"/>
      </w:pPr>
      <w:r>
        <w:rPr>
          <w:b/>
        </w:rPr>
        <w:t xml:space="preserve">Research gap.</w:t>
      </w:r>
      <w:r>
        <w:t xml:space="preserve"> </w:t>
      </w:r>
      <w:r>
        <w:t xml:space="preserve">These two concerns are typically addressed</w:t>
      </w:r>
      <w:r>
        <w:t xml:space="preserve"> </w:t>
      </w:r>
      <w:r>
        <w:t xml:space="preserve">separately: robustness work examines parameter geometry, and explainability</w:t>
      </w:r>
      <w:r>
        <w:t xml:space="preserve"> </w:t>
      </w:r>
      <w:r>
        <w:t xml:space="preserve">work examines the final model. The explanation signal is not used as evidence</w:t>
      </w:r>
      <w:r>
        <w:t xml:space="preserve"> </w:t>
      </w:r>
      <w:r>
        <w:t xml:space="preserve">about whether a client is behaving honestly. This is a missed opportunity,</w:t>
      </w:r>
      <w:r>
        <w:t xml:space="preserve"> </w:t>
      </w:r>
      <w:r>
        <w:t xml:space="preserve">because a poisoned model frequently attributes risk to the wrong features, or</w:t>
      </w:r>
      <w:r>
        <w:t xml:space="preserve"> </w:t>
      </w:r>
      <w:r>
        <w:t xml:space="preserve">with inverted sign, even when the norm and direction of its update look</w:t>
      </w:r>
      <w:r>
        <w:t xml:space="preserve"> </w:t>
      </w:r>
      <w:r>
        <w:t xml:space="preserve">unremarkable. A further difficulty is that a client cannot simply be asked to</w:t>
      </w:r>
      <w:r>
        <w:t xml:space="preserve"> </w:t>
      </w:r>
      <w:r>
        <w:t xml:space="preserve">report its own explanations, since a malicious participant would report</w:t>
      </w:r>
      <w:r>
        <w:t xml:space="preserve"> </w:t>
      </w:r>
      <w:r>
        <w:t xml:space="preserve">whatever explanation best conceals its behaviour.</w:t>
      </w:r>
    </w:p>
    <w:p>
      <w:pPr>
        <w:pStyle w:val="BodyText"/>
      </w:pPr>
      <w:r>
        <w:rPr>
          <w:b/>
        </w:rPr>
        <w:t xml:space="preserve">Contributions.</w:t>
      </w:r>
      <w:r>
        <w:t xml:space="preserve"> </w:t>
      </w:r>
      <w:r>
        <w:t xml:space="preserve">This paper makes the following contributions.</w:t>
      </w:r>
    </w:p>
    <w:p>
      <w:pPr>
        <w:numPr>
          <w:ilvl w:val="0"/>
          <w:numId w:val="1001"/>
        </w:numPr>
      </w:pPr>
      <w:r>
        <w:t xml:space="preserve">A trust-aware federated aggregation scheme in which per-client trust</w:t>
      </w:r>
      <w:r>
        <w:t xml:space="preserve"> </w:t>
      </w:r>
      <w:r>
        <w:t xml:space="preserve">is derived from</w:t>
      </w:r>
      <w:r>
        <w:t xml:space="preserve"> </w:t>
      </w:r>
      <w:r>
        <w:rPr>
          <w:i/>
        </w:rPr>
        <w:t xml:space="preserve">explanation consistency</w:t>
      </w:r>
      <w:r>
        <w:t xml:space="preserve"> </w:t>
      </w:r>
      <w:r>
        <w:t xml:space="preserve">in addition to update</w:t>
      </w:r>
      <w:r>
        <w:t xml:space="preserve"> </w:t>
      </w:r>
      <w:r>
        <w:t xml:space="preserve">geometry, combined through an exponential moving average and applied</w:t>
      </w:r>
      <w:r>
        <w:t xml:space="preserve"> </w:t>
      </w:r>
      <w:r>
        <w:t xml:space="preserve">as aggregation weights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t>∝</m:t>
        </m:r>
        <m:sSub>
          <m:e>
            <m:r>
              <m:t>n</m:t>
            </m:r>
          </m:e>
          <m:sub>
            <m:r>
              <m:t>k</m:t>
            </m:r>
          </m:sub>
        </m:sSub>
        <m:sSubSup>
          <m:e>
            <m:r>
              <m:t>T</m:t>
            </m:r>
          </m:e>
          <m:sub>
            <m:r>
              <m:t>k</m:t>
            </m:r>
          </m:sub>
          <m:sup>
            <m:r>
              <m:t>γ</m:t>
            </m:r>
          </m:sup>
        </m:sSubSup>
      </m:oMath>
      <w:r>
        <w:t xml:space="preserve"> </w:t>
      </w:r>
      <w:r>
        <w:t xml:space="preserve">with a hard</w:t>
      </w:r>
      <w:r>
        <w:t xml:space="preserve"> </w:t>
      </w:r>
      <w:r>
        <w:t xml:space="preserve">exclusion threshold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i/>
        </w:rPr>
        <w:t xml:space="preserve">extrapolated attribution signature</w:t>
      </w:r>
      <w:r>
        <w:t xml:space="preserve">, computed entirely</w:t>
      </w:r>
      <w:r>
        <w:t xml:space="preserve"> </w:t>
      </w:r>
      <w:r>
        <w:t xml:space="preserve">server-side by amplifying each client’s update direction by a factor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before taking the signed attribution vector on a shared</w:t>
      </w:r>
      <w:r>
        <w:t xml:space="preserve"> </w:t>
      </w:r>
      <w:r>
        <w:t xml:space="preserve">public reference set. Because it is derived from the submitted</w:t>
      </w:r>
      <w:r>
        <w:t xml:space="preserve"> </w:t>
      </w:r>
      <w:r>
        <w:t xml:space="preserve">weights, it cannot be forged, and the amplification makes an</w:t>
      </w:r>
      <w:r>
        <w:t xml:space="preserve"> </w:t>
      </w:r>
      <w:r>
        <w:t xml:space="preserve">inverted-attribution client detectable well before its update norm</w:t>
      </w:r>
      <w:r>
        <w:t xml:space="preserve"> </w:t>
      </w:r>
      <w:r>
        <w:t xml:space="preserve">becomes anomalous.</w:t>
      </w:r>
    </w:p>
    <w:p>
      <w:pPr>
        <w:numPr>
          <w:ilvl w:val="0"/>
          <w:numId w:val="1001"/>
        </w:numPr>
      </w:pPr>
      <w:r>
        <w:t xml:space="preserve">An implementation on the Flower framework</w:t>
      </w:r>
      <w:r>
        <w:t xml:space="preserve"> </w:t>
      </w:r>
      <w:r>
        <w:t xml:space="preserve">[19] with a desktop application that presents</w:t>
      </w:r>
      <w:r>
        <w:t xml:space="preserve"> </w:t>
      </w:r>
      <w:r>
        <w:t xml:space="preserve">per-patient risk estimates together with both human-readable and</w:t>
      </w:r>
      <w:r>
        <w:t xml:space="preserve"> </w:t>
      </w:r>
      <w:r>
        <w:t xml:space="preserve">technical SHAP explanations.</w:t>
      </w:r>
    </w:p>
    <w:p>
      <w:pPr>
        <w:numPr>
          <w:ilvl w:val="0"/>
          <w:numId w:val="1001"/>
        </w:numPr>
      </w:pPr>
      <w:r>
        <w:t xml:space="preserve">An empirical study of six experiments spanning attack fraction,</w:t>
      </w:r>
      <w:r>
        <w:t xml:space="preserve"> </w:t>
      </w:r>
      <w:r>
        <w:t xml:space="preserve">trust-component ablation, extrapolation sensitivity, heterogeneity</w:t>
      </w:r>
      <w:r>
        <w:t xml:space="preserve"> </w:t>
      </w:r>
      <w:r>
        <w:t xml:space="preserve">false positives, cross-dataset generalisation, and sensitivity to</w:t>
      </w:r>
      <w:r>
        <w:t xml:space="preserve"> </w:t>
      </w:r>
      <w:r>
        <w:t xml:space="preserve">the trust-weighting parameter, reported with per-seed variability</w:t>
      </w:r>
      <w:r>
        <w:t xml:space="preserve"> </w:t>
      </w:r>
      <w:r>
        <w:t xml:space="preserve">and with negative results retained.</w:t>
      </w:r>
    </w:p>
    <w:p>
      <w:pPr>
        <w:pStyle w:val="Heading1"/>
        <w:jc w:val="center"/>
      </w:pPr>
      <w:bookmarkStart w:id="21" w:name="related-work"/>
      <w:r>
        <w:rPr>
          <w:rFonts w:ascii="Times New Roman" w:hAnsi="Times New Roman"/>
          <w:b w:val="0"/>
          <w:sz w:val="20"/>
        </w:rPr>
        <w:t>II.  RELATED WORK</w:t>
      </w:r>
      <w:bookmarkEnd w:id="21"/>
    </w:p>
    <w:p>
      <w:pPr>
        <w:pStyle w:val="Heading2"/>
      </w:pPr>
      <w:bookmarkStart w:id="22" w:name="federated-learning-and-aggregation"/>
      <w:r>
        <w:t xml:space="preserve">Federated learning and aggregation</w:t>
      </w:r>
      <w:bookmarkEnd w:id="22"/>
    </w:p>
    <w:p>
      <w:pPr>
        <w:pStyle w:val="FirstParagraph"/>
      </w:pPr>
      <w:r>
        <w:t xml:space="preserve">FedAvg [1] established the standard federated training loop:</w:t>
      </w:r>
      <w:r>
        <w:t xml:space="preserve"> </w:t>
      </w:r>
      <w:r>
        <w:t xml:space="preserve">broadcast the global model, train locally for several epochs, and average</w:t>
      </w:r>
      <w:r>
        <w:t xml:space="preserve"> </w:t>
      </w:r>
      <w:r>
        <w:t xml:space="preserve">the returned parameters weighted by local sample count. Surveys</w:t>
      </w:r>
      <w:r>
        <w:t xml:space="preserve"> </w:t>
      </w:r>
      <w:r>
        <w:t xml:space="preserve">[20, 21] document its convergence behaviour and its</w:t>
      </w:r>
      <w:r>
        <w:t xml:space="preserve"> </w:t>
      </w:r>
      <w:r>
        <w:t xml:space="preserve">sensitivity to statistical heterogeneity; Hsieh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[13] analyse the non-IID setting specifically. Flower</w:t>
      </w:r>
      <w:r>
        <w:t xml:space="preserve"> </w:t>
      </w:r>
      <w:r>
        <w:t xml:space="preserve">[19] provides a framework-agnostic implementation with</w:t>
      </w:r>
      <w:r>
        <w:t xml:space="preserve"> </w:t>
      </w:r>
      <w:r>
        <w:t xml:space="preserve">pluggable server-side strategies, which is the mechanism this work extends.</w:t>
      </w:r>
    </w:p>
    <w:p>
      <w:pPr>
        <w:pStyle w:val="Heading2"/>
      </w:pPr>
      <w:bookmarkStart w:id="23" w:name="Xb4c601441531070abf88b35ae5a2aa9045c4f1a"/>
      <w:r>
        <w:t xml:space="preserve">Poisoning and Byzantine-robust aggregation</w:t>
      </w:r>
      <w:bookmarkEnd w:id="23"/>
    </w:p>
    <w:p>
      <w:pPr>
        <w:pStyle w:val="FirstParagraph"/>
      </w:pPr>
      <w:r>
        <w:t xml:space="preserve">Model poisoning in FL has been demonstrated through adversarial-lens analysis</w:t>
      </w:r>
      <w:r>
        <w:t xml:space="preserve"> </w:t>
      </w:r>
      <w:r>
        <w:t xml:space="preserve">[7], backdoor insertion [8] and attacks</w:t>
      </w:r>
      <w:r>
        <w:t xml:space="preserve"> </w:t>
      </w:r>
      <w:r>
        <w:t xml:space="preserve">crafted specifically against robust aggregators [9]. Defences</w:t>
      </w:r>
      <w:r>
        <w:t xml:space="preserve"> </w:t>
      </w:r>
      <w:r>
        <w:t xml:space="preserve">include Krum [11], which selects the update closest to</w:t>
      </w:r>
      <w:r>
        <w:t xml:space="preserve"> </w:t>
      </w:r>
      <w:r>
        <w:t xml:space="preserve">its neighbours, and coordinate-wise median or trimmed mean</w:t>
      </w:r>
      <w:r>
        <w:t xml:space="preserve"> </w:t>
      </w:r>
      <w:r>
        <w:t xml:space="preserve">[12], which bound the influence of extreme coordinates. These</w:t>
      </w:r>
      <w:r>
        <w:t xml:space="preserve"> </w:t>
      </w:r>
      <w:r>
        <w:t xml:space="preserve">rules share an assumption: that a malicious update is geometrically atypical.</w:t>
      </w:r>
      <w:r>
        <w:t xml:space="preserve"> </w:t>
      </w:r>
      <w:r>
        <w:t xml:space="preserve">Fang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[9] show that this assumption can be attacked</w:t>
      </w:r>
      <w:r>
        <w:t xml:space="preserve"> </w:t>
      </w:r>
      <w:r>
        <w:t xml:space="preserve">directly, and the taxonomy in [10] organises these</w:t>
      </w:r>
      <w:r>
        <w:t xml:space="preserve"> </w:t>
      </w:r>
      <w:r>
        <w:t xml:space="preserve">attacks by adversary knowledge, target and stage of the training pipeline.</w:t>
      </w:r>
    </w:p>
    <w:p>
      <w:pPr>
        <w:pStyle w:val="Heading2"/>
      </w:pPr>
      <w:bookmarkStart w:id="24" w:name="explainable-ai"/>
      <w:r>
        <w:t xml:space="preserve">Explainable AI</w:t>
      </w:r>
      <w:bookmarkEnd w:id="24"/>
    </w:p>
    <w:p>
      <w:pPr>
        <w:pStyle w:val="FirstParagraph"/>
      </w:pPr>
      <w:r>
        <w:t xml:space="preserve">SHAP [14] unifies additive attribution methods under the</w:t>
      </w:r>
      <w:r>
        <w:t xml:space="preserve"> </w:t>
      </w:r>
      <w:r>
        <w:t xml:space="preserve">Shapley value [15] and, for linear models, admits an exact</w:t>
      </w:r>
      <w:r>
        <w:t xml:space="preserve"> </w:t>
      </w:r>
      <w:r>
        <w:t xml:space="preserve">closed form. LIME [22] provides local surrogate</w:t>
      </w:r>
      <w:r>
        <w:t xml:space="preserve"> </w:t>
      </w:r>
      <w:r>
        <w:t xml:space="preserve">explanations. Reviews [16, 17] survey the field,</w:t>
      </w:r>
      <w:r>
        <w:t xml:space="preserve"> </w:t>
      </w:r>
      <w:r>
        <w:t xml:space="preserve">while Rudin [18] argues that inherently interpretable models are</w:t>
      </w:r>
      <w:r>
        <w:t xml:space="preserve"> </w:t>
      </w:r>
      <w:r>
        <w:t xml:space="preserve">preferable for high-stakes decisions—an argument that motivates the choice</w:t>
      </w:r>
      <w:r>
        <w:t xml:space="preserve"> </w:t>
      </w:r>
      <w:r>
        <w:t xml:space="preserve">of a linear risk model in this work.</w:t>
      </w:r>
    </w:p>
    <w:p>
      <w:pPr>
        <w:pStyle w:val="Heading2"/>
      </w:pPr>
      <w:bookmarkStart w:id="25" w:name="federated-learning-in-healthcare"/>
      <w:r>
        <w:t xml:space="preserve">Federated learning in healthcare</w:t>
      </w:r>
      <w:bookmarkEnd w:id="25"/>
    </w:p>
    <w:p>
      <w:pPr>
        <w:pStyle w:val="FirstParagraph"/>
      </w:pPr>
      <w:r>
        <w:t xml:space="preserve">Teo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[6] systematically review clinical FL</w:t>
      </w:r>
      <w:r>
        <w:t xml:space="preserve"> </w:t>
      </w:r>
      <w:r>
        <w:t xml:space="preserve">applications and technical architectures. Rieke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[3] set out the case for FL in digital health; Sheller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[4] demonstrate</w:t>
      </w:r>
      <w:r>
        <w:t xml:space="preserve"> </w:t>
      </w:r>
      <w:r>
        <w:t xml:space="preserve">multi-institutional training without data sharing; Dayan</w:t>
      </w:r>
      <w:r>
        <w:t xml:space="preserve"> </w:t>
      </w:r>
      <w:r>
        <w:rPr>
          <w:i/>
        </w:rPr>
        <w:t xml:space="preserve">et al.</w:t>
      </w:r>
      <w:r>
        <w:t xml:space="preserve"> </w:t>
      </w:r>
      <w:r>
        <w:t xml:space="preserve">[5] report a large multi-national federated study for COVID-19</w:t>
      </w:r>
      <w:r>
        <w:t xml:space="preserve"> </w:t>
      </w:r>
      <w:r>
        <w:t xml:space="preserve">outcome prediction. Privacy analyses such as deep leakage from gradients</w:t>
      </w:r>
      <w:r>
        <w:t xml:space="preserve"> </w:t>
      </w:r>
      <w:r>
        <w:t xml:space="preserve">[23] show that transmitting parameters is not by itself</w:t>
      </w:r>
      <w:r>
        <w:t xml:space="preserve"> </w:t>
      </w:r>
      <w:r>
        <w:t xml:space="preserve">sufficient for privacy.</w:t>
      </w:r>
    </w:p>
    <w:p>
      <w:pPr>
        <w:pStyle w:val="Heading2"/>
      </w:pPr>
      <w:bookmarkStart w:id="26" w:name="gap-addressed-here"/>
      <w:r>
        <w:t xml:space="preserve">Gap addressed here</w:t>
      </w:r>
      <w:bookmarkEnd w:id="26"/>
    </w:p>
    <w:p>
      <w:pPr>
        <w:pStyle w:val="FirstParagraph"/>
      </w:pPr>
      <w:r>
        <w:t xml:space="preserve">A scoping review of the intersection between FL and explainable AI</w:t>
      </w:r>
      <w:r>
        <w:t xml:space="preserve"> </w:t>
      </w:r>
      <w:r>
        <w:t xml:space="preserve">[24] finds that the two are usually combined so that</w:t>
      </w:r>
      <w:r>
        <w:t xml:space="preserve"> </w:t>
      </w:r>
      <w:r>
        <w:t xml:space="preserve">explanations are produced</w:t>
      </w:r>
      <w:r>
        <w:t xml:space="preserve"> </w:t>
      </w:r>
      <w:r>
        <w:rPr>
          <w:i/>
        </w:rPr>
        <w:t xml:space="preserve">from</w:t>
      </w:r>
      <w:r>
        <w:t xml:space="preserve"> </w:t>
      </w:r>
      <w:r>
        <w:t xml:space="preserve">a federated model, rather than used</w:t>
      </w:r>
      <w:r>
        <w:t xml:space="preserve"> </w:t>
      </w:r>
      <w:r>
        <w:rPr>
          <w:i/>
        </w:rPr>
        <w:t xml:space="preserve">within</w:t>
      </w:r>
      <w:r>
        <w:t xml:space="preserve"> </w:t>
      </w:r>
      <w:r>
        <w:t xml:space="preserve">the federated protocol itself. Consistent with that finding,</w:t>
      </w:r>
      <w:r>
        <w:t xml:space="preserve"> </w:t>
      </w:r>
      <w:r>
        <w:t xml:space="preserve">existing trust or reputation mechanisms for FL</w:t>
      </w:r>
      <w:r>
        <w:t xml:space="preserve"> </w:t>
      </w:r>
      <w:r>
        <w:t xml:space="preserve">score clients using update statistics, validation loss on held-out data, or</w:t>
      </w:r>
      <w:r>
        <w:t xml:space="preserve"> </w:t>
      </w:r>
      <w:r>
        <w:t xml:space="preserve">historical behaviour, and treat explanations as a downstream artefact. This</w:t>
      </w:r>
      <w:r>
        <w:t xml:space="preserve"> </w:t>
      </w:r>
      <w:r>
        <w:t xml:space="preserve">work instead makes the attribution pattern of a submitted model a first-class</w:t>
      </w:r>
      <w:r>
        <w:t xml:space="preserve"> </w:t>
      </w:r>
      <w:r>
        <w:t xml:space="preserve">trust signal, computes it server-side so that it cannot be spoofed, and</w:t>
      </w:r>
      <w:r>
        <w:t xml:space="preserve"> </w:t>
      </w:r>
      <w:r>
        <w:t xml:space="preserve">amplifies it by extrapolation so that inverted attributions become</w:t>
      </w:r>
      <w:r>
        <w:t xml:space="preserve"> </w:t>
      </w:r>
      <w:r>
        <w:t xml:space="preserve">separable early in training.</w:t>
      </w:r>
    </w:p>
    <w:p>
      <w:pPr>
        <w:pStyle w:val="Heading1"/>
        <w:jc w:val="center"/>
      </w:pPr>
      <w:bookmarkStart w:id="27" w:name="proposed-methodology"/>
      <w:r>
        <w:rPr>
          <w:rFonts w:ascii="Times New Roman" w:hAnsi="Times New Roman"/>
          <w:b w:val="0"/>
          <w:sz w:val="20"/>
        </w:rPr>
        <w:t>III.  PROPOSED METHODOLOGY</w:t>
      </w:r>
      <w:bookmarkEnd w:id="27"/>
    </w:p>
    <w:p>
      <w:pPr>
        <w:pStyle w:val="Heading2"/>
      </w:pPr>
      <w:bookmarkStart w:id="28" w:name="system-architecture"/>
      <w:r>
        <w:t xml:space="preserve">System Architecture</w:t>
      </w:r>
      <w:bookmarkEnd w:id="28"/>
    </w:p>
    <w:p>
      <w:pPr>
        <w:pStyle w:val="FirstParagraph"/>
      </w:pPr>
      <w:r>
        <w:t xml:space="preserve">Fig. </w:t>
      </w:r>
      <w:hyperlink w:anchor="fig:arch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architecture.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simulated hospitals hold</w:t>
      </w:r>
      <w:r>
        <w:t xml:space="preserve"> </w:t>
      </w:r>
      <w:r>
        <w:t xml:space="preserve">disjoint, non-IID shards of a tabular clinical dataset. Each round, the</w:t>
      </w:r>
      <w:r>
        <w:t xml:space="preserve"> </w:t>
      </w:r>
      <w:r>
        <w:t xml:space="preserve">Flower server broadcasts the global parameter vector, each client performs</w:t>
      </w:r>
      <w:r>
        <w:t xml:space="preserve"> </w:t>
      </w:r>
      <w:r>
        <w:t xml:space="preserve">local training and returns parameters, and the server computes trust scores,</w:t>
      </w:r>
      <w:r>
        <w:t xml:space="preserve"> </w:t>
      </w:r>
      <w:r>
        <w:t xml:space="preserve">aggregates, and evaluates the global model on a held-out test set. The</w:t>
      </w:r>
      <w:r>
        <w:t xml:space="preserve"> </w:t>
      </w:r>
      <w:r>
        <w:t xml:space="preserve">desktop application consumes the resulting model to produce per-patient risk</w:t>
      </w:r>
      <w:r>
        <w:t xml:space="preserve"> </w:t>
      </w:r>
      <w:r>
        <w:t xml:space="preserve">estimates and explanations.</w:t>
      </w:r>
    </w:p>
    <w:p>
      <w:pPr>
        <w:pStyle w:val="CaptionedFigure"/>
        <w:ind w:firstLine="0"/>
        <w:jc w:val="center"/>
      </w:pPr>
      <w:bookmarkStart w:id="30" w:name="fig:arch"/>
      <w:r>
        <w:drawing>
          <wp:inline>
            <wp:extent cx="2880360" cy="1440180"/>
            <wp:effectExtent b="0" l="0" r="0" t="0"/>
            <wp:docPr descr="TA-EFL architecture. Clients return only parameters; the server derives the extrapolated attribution signature, the trust score and the aggregation weights." title="" id="1" name="Picture"/>
            <a:graphic>
              <a:graphicData uri="http://schemas.openxmlformats.org/drawingml/2006/picture">
                <pic:pic>
                  <pic:nvPicPr>
                    <pic:cNvPr descr="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TA-EFL architecture. Clients return only parameters; the server</w:t>
      </w:r>
      <w:r>
        <w:t xml:space="preserve"> </w:t>
      </w:r>
      <w:r>
        <w:t xml:space="preserve">derives the extrapolated attribution signature, the trust score and the</w:t>
      </w:r>
      <w:r>
        <w:t xml:space="preserve"> </w:t>
      </w:r>
      <w:r>
        <w:t xml:space="preserve">aggregation weights.</w:t>
      </w:r>
    </w:p>
    <w:p>
      <w:pPr>
        <w:pStyle w:val="Heading2"/>
      </w:pPr>
      <w:bookmarkStart w:id="31" w:name="federated-learning-framework"/>
      <w:r>
        <w:t xml:space="preserve">Federated Learning Framework</w:t>
      </w:r>
      <w:bookmarkEnd w:id="31"/>
    </w:p>
    <w:p>
      <w:pPr>
        <w:pStyle w:val="FirstParagraph"/>
      </w:pPr>
      <w:r>
        <w:t xml:space="preserve">The system is implemented against the Flower APIs</w:t>
      </w:r>
      <w:r>
        <w:t xml:space="preserve"> </w:t>
      </w:r>
      <w:r>
        <w:t xml:space="preserve">[19]: each hospital is a</w:t>
      </w:r>
      <w:r>
        <w:t xml:space="preserve"> </w:t>
      </w:r>
      <w:r>
        <w:rPr>
          <w:rStyle w:val="VerbatimChar"/>
        </w:rPr>
        <w:t xml:space="preserve">NumPyClient</w:t>
      </w:r>
      <w:r>
        <w:t xml:space="preserve"> </w:t>
      </w:r>
      <w:r>
        <w:t xml:space="preserve">exposed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ClientApp</w:t>
      </w:r>
      <w:r>
        <w:t xml:space="preserve">, and trust-weighted aggregation is a custom</w:t>
      </w:r>
      <w:r>
        <w:t xml:space="preserve"> </w:t>
      </w:r>
      <w:r>
        <w:t xml:space="preserve">server-side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 </w:t>
      </w:r>
      <w:r>
        <w:t xml:space="preserve">within a</w:t>
      </w:r>
      <w:r>
        <w:t xml:space="preserve"> </w:t>
      </w:r>
      <w:r>
        <w:rPr>
          <w:rStyle w:val="VerbatimChar"/>
        </w:rPr>
        <w:t xml:space="preserve">ServerApp</w:t>
      </w:r>
      <w:r>
        <w:t xml:space="preserve">. Two execution</w:t>
      </w:r>
      <w:r>
        <w:t xml:space="preserve"> </w:t>
      </w:r>
      <w:r>
        <w:t xml:space="preserve">backends are supported: Flower’s simulation runtime, and an in-process driver</w:t>
      </w:r>
      <w:r>
        <w:t xml:space="preserve"> </w:t>
      </w:r>
      <w:r>
        <w:t xml:space="preserve">that steps the same strategy one round at a time for deterministic</w:t>
      </w:r>
      <w:r>
        <w:t xml:space="preserve"> </w:t>
      </w:r>
      <w:r>
        <w:t xml:space="preserve">experiments and live progress in the graphical interface.</w:t>
      </w:r>
    </w:p>
    <w:p>
      <w:pPr>
        <w:pStyle w:val="BodyText"/>
      </w:pPr>
      <w:r>
        <w:t xml:space="preserve">The local model is a binary logistic regression trained by mini-batch</w:t>
      </w:r>
      <w:r>
        <w:t xml:space="preserve"> </w:t>
      </w:r>
      <w:r>
        <w:t xml:space="preserve">stochastic gradient descent. For parameters</w:t>
      </w:r>
      <w:r>
        <w:t xml:space="preserve"> </w:t>
      </w:r>
      <m:oMath>
        <m:r>
          <m:t>θ</m:t>
        </m:r>
        <m:r>
          <m:t>=</m:t>
        </m:r>
        <m:r>
          <m:t>(</m:t>
        </m:r>
        <m:r>
          <m:rPr>
            <m:sty m:val="b"/>
          </m:rPr>
          <m:t>w</m:t>
        </m:r>
        <m:r>
          <m:t>,</m:t>
        </m:r>
        <m:r>
          <m:t>b</m:t>
        </m:r>
        <m: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t>(</m:t>
          </m:r>
          <m:r>
            <m:rPr>
              <m:sty m:val="b"/>
            </m:rPr>
            <m:t>x</m:t>
          </m:r>
          <m:r>
            <m:t>)</m:t>
          </m:r>
          <m:r>
            <m:t>=</m:t>
          </m:r>
          <m:r>
            <m:t>σ</m:t>
          </m:r>
          <m:r>
            <m:t>(</m:t>
          </m:r>
          <m:sSup>
            <m:e>
              <m:r>
                <m:rPr>
                  <m:sty m:val="b"/>
                </m:rPr>
                <m:t>w</m:t>
              </m:r>
            </m:e>
            <m:sup>
              <m:r>
                <m:t>⊤</m:t>
              </m:r>
            </m:sup>
          </m:sSup>
          <m:r>
            <m:rPr>
              <m:sty m:val="b"/>
            </m:rPr>
            <m:t>x</m:t>
          </m:r>
          <m:r>
            <m:t>+</m:t>
          </m:r>
          <m:r>
            <m:t>b</m:t>
          </m:r>
          <m:r>
            <m:t>)</m:t>
          </m:r>
          <m:r>
            <m:t>,</m:t>
          </m:r>
          <m:r>
            <m:t>  </m:t>
          </m:r>
          <m:r>
            <m:t>σ</m:t>
          </m:r>
          <m:r>
            <m:t>(</m:t>
          </m:r>
          <m:r>
            <m:t>z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z</m:t>
                  </m:r>
                </m:sup>
              </m:sSup>
            </m:den>
          </m:f>
          <m:r>
            <m:t>.</m:t>
          </m:r>
        </m:oMath>
      </m:oMathPara>
    </w:p>
    <w:p>
      <w:pPr>
        <w:pStyle w:val="FirstParagraph"/>
      </w:pPr>
      <w:r>
        <w:t xml:space="preserve">A linear model is chosen deliberately: it admits exact SHAP values in closed</w:t>
      </w:r>
      <w:r>
        <w:t xml:space="preserve"> </w:t>
      </w:r>
      <w:r>
        <w:t xml:space="preserve">form, so explanations introduce no approximation error of their own, in line</w:t>
      </w:r>
      <w:r>
        <w:t xml:space="preserve"> </w:t>
      </w:r>
      <w:r>
        <w:t xml:space="preserve">with the argument for interpretable models in high-stakes settings</w:t>
      </w:r>
      <w:r>
        <w:t xml:space="preserve"> </w:t>
      </w:r>
      <w:r>
        <w:t xml:space="preserve">[18].</w:t>
      </w:r>
    </w:p>
    <w:p>
      <w:pPr>
        <w:pStyle w:val="BodyText"/>
      </w:pPr>
      <w:r>
        <w:t xml:space="preserve">The classical FedAvg baseline aggregates as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g</m:t>
              </m:r>
            </m:sub>
            <m:sup>
              <m:r>
                <m:t>(</m:t>
              </m:r>
              <m:r>
                <m:t>t</m:t>
              </m:r>
              <m:r>
                <m:t>+</m:t>
              </m:r>
              <m:r>
                <m:t>1</m:t>
              </m:r>
              <m:r>
                <m:t>)</m:t>
              </m:r>
            </m:sup>
          </m:sSubSup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</m:e>
          </m:nary>
          <m:r>
            <m:t> </m:t>
          </m:r>
          <m:sSubSup>
            <m:e>
              <m:r>
                <m:t>θ</m:t>
              </m:r>
            </m:e>
            <m:sub>
              <m:r>
                <m:t>k</m:t>
              </m:r>
            </m:sub>
            <m:sup>
              <m:r>
                <m:t>(</m:t>
              </m:r>
              <m:r>
                <m:t>t</m:t>
              </m:r>
              <m:r>
                <m:t>)</m:t>
              </m:r>
            </m:sup>
          </m:sSubSup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number of local training samples at client</w:t>
      </w:r>
      <w:r>
        <w:t xml:space="preserve"> </w:t>
      </w:r>
      <m:oMath>
        <m:r>
          <m:t>k</m:t>
        </m:r>
      </m:oMath>
      <w:r>
        <w:t xml:space="preserve">. The</w:t>
      </w:r>
      <w:r>
        <w:t xml:space="preserve"> </w:t>
      </w:r>
      <w:r>
        <w:t xml:space="preserve">coordinate-wise median baseline [12] replaces this with an</w:t>
      </w:r>
      <w:r>
        <w:t xml:space="preserve"> </w:t>
      </w:r>
      <w:r>
        <w:t xml:space="preserve">elementwise median over</w:t>
      </w:r>
      <w:r>
        <w:t xml:space="preserve"> </w:t>
      </w:r>
      <m:oMath>
        <m:r>
          <m:t>{</m:t>
        </m:r>
        <m:sSubSup>
          <m:e>
            <m:r>
              <m:t>θ</m:t>
            </m:r>
          </m:e>
          <m:sub>
            <m:r>
              <m:t>k</m:t>
            </m:r>
          </m:sub>
          <m:sup>
            <m:r>
              <m:t>(</m:t>
            </m:r>
            <m:r>
              <m:t>t</m:t>
            </m:r>
            <m:r>
              <m:t>)</m:t>
            </m:r>
          </m:sup>
        </m:sSubSup>
        <m:r>
          <m:t>}</m:t>
        </m:r>
      </m:oMath>
      <w:r>
        <w:t xml:space="preserve">.</w:t>
      </w:r>
    </w:p>
    <w:p>
      <w:pPr>
        <w:pStyle w:val="Heading2"/>
      </w:pPr>
      <w:bookmarkStart w:id="32" w:name="non-iid-client-partitioning"/>
      <w:r>
        <w:t xml:space="preserve">Non-IID Client Partitioning</w:t>
      </w:r>
      <w:bookmarkEnd w:id="32"/>
    </w:p>
    <w:p>
      <w:pPr>
        <w:pStyle w:val="FirstParagraph"/>
      </w:pPr>
      <w:r>
        <w:t xml:space="preserve">Training indices are divided using a Dirichlet partition. For each class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proportions over clients are drawn as</w:t>
      </w:r>
    </w:p>
    <w:p>
      <w:pPr>
        <w:pStyle w:val="BodyText"/>
      </w:pPr>
      <m:oMathPara>
        <m:oMathParaPr>
          <m:jc m:val="center"/>
        </m:oMathParaPr>
        <m:oMath>
          <m:r>
            <m:t>(</m:t>
          </m:r>
          <m:sSub>
            <m:e>
              <m:r>
                <m:t>q</m:t>
              </m:r>
            </m:e>
            <m:sub>
              <m:r>
                <m:t>1</m:t>
              </m:r>
              <m:r>
                <m:t>,</m:t>
              </m:r>
              <m:r>
                <m:t>c</m:t>
              </m:r>
            </m:sub>
          </m:sSub>
          <m:r>
            <m:t>,</m:t>
          </m:r>
          <m:r>
            <m:t>…</m:t>
          </m:r>
          <m:r>
            <m:t>,</m:t>
          </m:r>
          <m:sSub>
            <m:e>
              <m:r>
                <m:t>q</m:t>
              </m:r>
            </m:e>
            <m:sub>
              <m:r>
                <m:t>K</m:t>
              </m:r>
              <m:r>
                <m:t>,</m:t>
              </m:r>
              <m:r>
                <m:t>c</m:t>
              </m:r>
            </m:sub>
          </m:sSub>
          <m:r>
            <m:t>)</m:t>
          </m:r>
          <m:r>
            <m:t>∼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t>(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sSub>
            <m:e>
              <m:r>
                <m:rPr>
                  <m:sty m:val="b"/>
                </m:rPr>
                <m:t>1</m:t>
              </m:r>
            </m:e>
            <m:sub>
              <m:r>
                <m:t>K</m:t>
              </m:r>
            </m:sub>
          </m:sSub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and class-</w:t>
      </w:r>
      <m:oMath>
        <m:r>
          <m:t>c</m:t>
        </m:r>
      </m:oMath>
      <w:r>
        <w:t xml:space="preserve"> </w:t>
      </w:r>
      <w:r>
        <w:t xml:space="preserve">indices are split accordingly, with resampling until every</w:t>
      </w:r>
      <w:r>
        <w:t xml:space="preserve"> </w:t>
      </w:r>
      <w:r>
        <w:t xml:space="preserve">client holds at least a minimum shard size. Smaller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yields more heterogeneous client populations. The</w:t>
      </w:r>
      <w:r>
        <w:t xml:space="preserve"> </w:t>
      </w:r>
      <w:r>
        <w:t xml:space="preserve">partition is a deterministic function of the dataset, client count,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and seed, so every simulated node reconstructs its</w:t>
      </w:r>
      <w:r>
        <w:t xml:space="preserve"> </w:t>
      </w:r>
      <w:r>
        <w:t xml:space="preserve">own shard without patient data being transferred between processes.</w:t>
      </w:r>
    </w:p>
    <w:p>
      <w:pPr>
        <w:pStyle w:val="Heading2"/>
      </w:pPr>
      <w:bookmarkStart w:id="33" w:name="threat-model"/>
      <w:r>
        <w:t xml:space="preserve">Threat Model</w:t>
      </w:r>
      <w:bookmarkEnd w:id="33"/>
    </w:p>
    <w:p>
      <w:pPr>
        <w:pStyle w:val="FirstParagraph"/>
      </w:pPr>
      <w:r>
        <w:t xml:space="preserve">A subset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t>⊂</m:t>
        </m:r>
        <m:r>
          <m:t>{</m:t>
        </m:r>
        <m:r>
          <m:t>1</m:t>
        </m:r>
        <m:r>
          <m:t>,</m:t>
        </m:r>
        <m:r>
          <m:t>…</m:t>
        </m:r>
        <m:r>
          <m:t>,</m:t>
        </m:r>
        <m:r>
          <m:t>K</m:t>
        </m:r>
        <m:r>
          <m:t>}</m:t>
        </m:r>
      </m:oMath>
      <w:r>
        <w:t xml:space="preserve"> </w:t>
      </w:r>
      <w:r>
        <w:t xml:space="preserve">of hospitals is malicious. They</w:t>
      </w:r>
      <w:r>
        <w:t xml:space="preserve"> </w:t>
      </w:r>
      <w:r>
        <w:t xml:space="preserve">participate in the protocol correctly at the message level—returning</w:t>
      </w:r>
      <w:r>
        <w:t xml:space="preserve"> </w:t>
      </w:r>
      <w:r>
        <w:t xml:space="preserve">well-formed parameter vectors and truthful sample counts—but corrupt what</w:t>
      </w:r>
      <w:r>
        <w:t xml:space="preserve"> </w:t>
      </w:r>
      <w:r>
        <w:t xml:space="preserve">they return in one of three ways:</w:t>
      </w:r>
    </w:p>
    <w:p>
      <w:pPr>
        <w:numPr>
          <w:ilvl w:val="0"/>
          <w:numId w:val="1002"/>
        </w:numPr>
      </w:pPr>
      <w:r>
        <w:rPr>
          <w:b/>
        </w:rPr>
        <w:t xml:space="preserve">Label flipping</w:t>
      </w:r>
      <w:r>
        <w:t xml:space="preserve">: local labels are inverted,</w:t>
      </w:r>
      <w:r>
        <w:t xml:space="preserve"> </w:t>
      </w:r>
      <m:oMath>
        <m:r>
          <m:t>y</m:t>
        </m:r>
        <m:r>
          <m:t>↦</m:t>
        </m:r>
        <m:r>
          <m:t>1</m:t>
        </m:r>
        <m: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before training.</w:t>
      </w:r>
    </w:p>
    <w:p>
      <w:pPr>
        <w:numPr>
          <w:ilvl w:val="0"/>
          <w:numId w:val="1002"/>
        </w:numPr>
      </w:pPr>
      <w:r>
        <w:rPr>
          <w:b/>
        </w:rPr>
        <w:t xml:space="preserve">Additive noise</w:t>
      </w:r>
      <w:r>
        <w:t xml:space="preserve">: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t>↦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t>∼</m:t>
        </m:r>
        <m:r>
          <m:rPr>
            <m:sty m:val="p"/>
            <m:scr m:val="script"/>
          </m:rPr>
          <m:t>N</m:t>
        </m:r>
        <m:r>
          <m:t>(</m:t>
        </m:r>
        <m:r>
          <m:t>0</m:t>
        </m:r>
        <m: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t>I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t>=</m:t>
        </m:r>
        <m:r>
          <m:t>1.0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Scaled model poisoning</w:t>
      </w:r>
      <w:r>
        <w:t xml:space="preserve">: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t>↦</m:t>
        </m:r>
        <m:sSub>
          <m:e>
            <m:r>
              <m:t>θ</m:t>
            </m:r>
          </m:e>
          <m:sub>
            <m:r>
              <m:t>g</m:t>
            </m:r>
          </m:sub>
        </m:sSub>
        <m:r>
          <m:t>+</m:t>
        </m:r>
        <m:r>
          <m:t>s</m:t>
        </m:r>
        <m: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t>−</m:t>
        </m:r>
        <m:sSub>
          <m:e>
            <m:r>
              <m:t>θ</m:t>
            </m:r>
          </m:e>
          <m:sub>
            <m:r>
              <m:t>g</m:t>
            </m:r>
          </m:sub>
        </m:sSub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t>=</m:t>
        </m:r>
        <m:r>
          <m:t>8.0</m:t>
        </m:r>
      </m:oMath>
      <w:r>
        <w:t xml:space="preserve">.</w:t>
      </w:r>
    </w:p>
    <w:p>
      <w:pPr>
        <w:pStyle w:val="FirstParagraph"/>
      </w:pPr>
      <w:r>
        <w:t xml:space="preserve">The server is honest, observes only submitted parameters and sample counts,</w:t>
      </w:r>
      <w:r>
        <w:t xml:space="preserve"> </w:t>
      </w:r>
      <w:r>
        <w:t xml:space="preserve">and holds a small public reference set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containing no</w:t>
      </w:r>
      <w:r>
        <w:t xml:space="preserve"> </w:t>
      </w:r>
      <w:r>
        <w:t xml:space="preserve">private records. Clients never transmit explanations, gradients on private</w:t>
      </w:r>
      <w:r>
        <w:t xml:space="preserve"> </w:t>
      </w:r>
      <w:r>
        <w:t xml:space="preserve">data, or raw features.</w:t>
      </w:r>
    </w:p>
    <w:p>
      <w:pPr>
        <w:pStyle w:val="Heading2"/>
      </w:pPr>
      <w:bookmarkStart w:id="34" w:name="trust-computation"/>
      <w:r>
        <w:t xml:space="preserve">Trust Computation</w:t>
      </w:r>
      <w:bookmarkEnd w:id="34"/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r>
          <m:t>=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t>−</m:t>
        </m:r>
        <m:sSub>
          <m:e>
            <m:r>
              <m:t>θ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be client</w:t>
      </w:r>
      <w:r>
        <w:t xml:space="preserve"> </w:t>
      </w:r>
      <m:oMath>
        <m:r>
          <m:t>k</m:t>
        </m:r>
      </m:oMath>
      <w:r>
        <w:t xml:space="preserve">’s update 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=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t>)</m:t>
        </m:r>
      </m:oMath>
      <w:r>
        <w:t xml:space="preserve"> </w:t>
      </w:r>
      <w:r>
        <w:t xml:space="preserve">the coordinate-wise median update. Two</w:t>
      </w:r>
      <w:r>
        <w:t xml:space="preserve"> </w:t>
      </w:r>
      <w:r>
        <w:t xml:space="preserve">similarity terms are computed. The update-similarity term is the cosine</w:t>
      </w:r>
      <w:r>
        <w:t xml:space="preserve"> </w:t>
      </w:r>
      <w:r>
        <w:t xml:space="preserve">similarity to the median update, attenuated by a magnitude penalty that</w:t>
      </w:r>
      <w:r>
        <w:t xml:space="preserve"> </w:t>
      </w:r>
      <w:r>
        <w:t xml:space="preserve">detects norm inflation: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d</m:t>
              </m:r>
            </m:sup>
          </m:sSubSup>
          <m:r>
            <m:t>=</m:t>
          </m:r>
          <m:r>
            <m:rPr>
              <m:nor/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grow/>
            </m:dPr>
            <m:e>
              <m:r>
                <m:t>0</m:t>
              </m:r>
              <m:r>
                <m:t>,</m:t>
              </m:r>
              <m:f>
                <m:fPr>
                  <m:type m:val="bar"/>
                </m:fPr>
                <m:num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⊤</m:t>
                      </m:r>
                    </m:sup>
                  </m:sSub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num>
                <m:den>
                  <m:r>
                    <m:t>∥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∥</m:t>
                  </m:r>
                  <m:r>
                    <m:t> </m:t>
                  </m:r>
                  <m:r>
                    <m:t>∥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t>∥</m:t>
                  </m:r>
                </m:den>
              </m:f>
            </m:e>
          </m:d>
          <m:r>
            <m:t>⋅</m:t>
          </m:r>
          <m:r>
            <m:rPr>
              <m:nor/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∥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∥</m:t>
                  </m:r>
                </m:num>
                <m:den>
                  <m:r>
                    <m:t>∥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∥</m:t>
                  </m:r>
                </m:den>
              </m:f>
            </m:e>
          </m:d>
          <m:r>
            <m:t>.</m:t>
          </m:r>
        </m:oMath>
      </m:oMathPara>
    </w:p>
    <w:p>
      <w:pPr>
        <w:pStyle w:val="FirstParagraph"/>
      </w:pPr>
      <w:r>
        <w:t xml:space="preserve">The explanation-consistency term compares attribution signatures (Section</w:t>
      </w:r>
      <w:r>
        <w:t xml:space="preserve"> </w:t>
      </w:r>
      <w:hyperlink w:anchor="sec:expltrust">
        <w:r>
          <w:rPr>
            <w:rStyle w:val="Hyperlink"/>
          </w:rPr>
          <w:t xml:space="preserve">3.7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</m:sup>
          </m:sSubSup>
          <m:r>
            <m:t>=</m:t>
          </m:r>
          <m:r>
            <m:rPr>
              <m:nor/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grow/>
            </m:dPr>
            <m:e>
              <m:r>
                <m:t>0</m:t>
              </m:r>
              <m:r>
                <m:t>,</m:t>
              </m:r>
              <m:f>
                <m:fPr>
                  <m:type m:val="bar"/>
                </m:fPr>
                <m:num>
                  <m:sSubSup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⊤</m:t>
                      </m:r>
                    </m:sup>
                  </m:sSubSup>
                  <m:acc>
                    <m:accPr>
                      <m:chr m:val="̃"/>
                    </m:accPr>
                    <m:e>
                      <m:r>
                        <m:t>ϕ</m:t>
                      </m:r>
                    </m:e>
                  </m:acc>
                </m:num>
                <m:den>
                  <m:r>
                    <m:t>∥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∥</m:t>
                  </m:r>
                  <m:r>
                    <m:t> </m:t>
                  </m:r>
                  <m:r>
                    <m:t>∥</m:t>
                  </m:r>
                  <m:acc>
                    <m:accPr>
                      <m:chr m:val="̃"/>
                    </m:accPr>
                    <m:e>
                      <m:r>
                        <m:t>ϕ</m:t>
                      </m:r>
                    </m:e>
                  </m:acc>
                  <m:r>
                    <m:t>∥</m:t>
                  </m:r>
                </m:den>
              </m:f>
            </m:e>
          </m:d>
          <m:r>
            <m:t>,</m:t>
          </m:r>
          <m:r>
            <m:t>  </m:t>
          </m:r>
          <m:acc>
            <m:accPr>
              <m:chr m:val="̃"/>
            </m:accPr>
            <m:e>
              <m:r>
                <m:t>ϕ</m:t>
              </m:r>
            </m:e>
          </m:acc>
          <m: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e>
            <m:sub>
              <m:r>
                <m:t>k</m:t>
              </m:r>
            </m:sub>
          </m:sSub>
          <m:r>
            <m:t>(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The two are mixed by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smoothed by an exponential moving average</w:t>
      </w:r>
      <w:r>
        <w:t xml:space="preserve"> </w:t>
      </w:r>
      <w:r>
        <w:t xml:space="preserve">with memory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r>
            <m:t>β</m:t>
          </m:r>
          <m:r>
            <m:t> 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(</m:t>
          </m:r>
          <m:r>
            <m:t>t</m:t>
          </m:r>
          <m:r>
            <m:t>−</m:t>
          </m:r>
          <m:r>
            <m:t>1</m:t>
          </m:r>
          <m:r>
            <m:t>)</m:t>
          </m:r>
          <m:r>
            <m:t>+</m:t>
          </m:r>
          <m:r>
            <m:t>(</m:t>
          </m:r>
          <m:r>
            <m:t>1</m:t>
          </m:r>
          <m:r>
            <m:t>−</m:t>
          </m:r>
          <m:r>
            <m:t>β</m:t>
          </m:r>
          <m:r>
            <m:t>)</m:t>
          </m:r>
          <m:d>
            <m:dPr>
              <m:begChr m:val="["/>
              <m:endChr m:val="]"/>
              <m:grow/>
            </m:dPr>
            <m:e>
              <m:r>
                <m:t>α</m:t>
              </m:r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d</m:t>
                  </m:r>
                </m:sup>
              </m:sSubSup>
              <m:r>
                <m:t>+</m:t>
              </m:r>
              <m:r>
                <m:t>(</m:t>
              </m:r>
              <m:r>
                <m:t>1</m:t>
              </m:r>
              <m:r>
                <m:t>−</m:t>
              </m:r>
              <m:r>
                <m:t>α</m:t>
              </m:r>
              <m:r>
                <m:t>)</m:t>
              </m:r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p</m:t>
                  </m:r>
                </m:sup>
              </m:sSubSup>
            </m:e>
          </m:d>
          <m:r>
            <m:t>.</m:t>
          </m: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t>α</m:t>
        </m:r>
        <m:r>
          <m:t>=</m:t>
        </m:r>
        <m:r>
          <m:t>1</m:t>
        </m:r>
      </m:oMath>
      <w:r>
        <w:t xml:space="preserve"> </w:t>
      </w:r>
      <w:r>
        <w:t xml:space="preserve">reduces trust to update geometry alone and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explanation consistency alone.</w:t>
      </w:r>
    </w:p>
    <w:p>
      <w:pPr>
        <w:pStyle w:val="Heading2"/>
      </w:pPr>
      <w:bookmarkStart w:id="35" w:name="trust-aware-aggregation"/>
      <w:r>
        <w:t xml:space="preserve">Trust-Aware Aggregation</w:t>
      </w:r>
      <w:bookmarkEnd w:id="35"/>
    </w:p>
    <w:p>
      <w:pPr>
        <w:pStyle w:val="FirstParagraph"/>
      </w:pPr>
      <w:r>
        <w:t xml:space="preserve">Aggregation weights sharpen trust by an exponent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 exclude clients</w:t>
      </w:r>
      <w:r>
        <w:t xml:space="preserve"> </w:t>
      </w:r>
      <w:r>
        <w:t xml:space="preserve">below a threshold</w:t>
      </w:r>
      <w:r>
        <w:t xml:space="preserve"> </w:t>
      </w:r>
      <m:oMath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γ</m:t>
                  </m:r>
                </m:sup>
              </m:sSubSup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Sup>
                <m:e>
                  <m:acc>
                    <m:accPr>
                      <m:chr m:val="̂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r>
                    <m:t>γ</m:t>
                  </m:r>
                </m:sup>
              </m:sSubSup>
            </m:den>
          </m:f>
          <m: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T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≥</m:t>
                    </m:r>
                    <m:r>
                      <m:t>τ</m:t>
                    </m:r>
                  </m:e>
                </m:mr>
                <m:mr>
                  <m:e>
                    <m:r>
                      <m:t>0</m:t>
                    </m:r>
                    <m: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&lt;</m:t>
                    </m:r>
                    <m:r>
                      <m:t>τ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Sup>
          <m:e>
            <m:r>
              <m:t>θ</m:t>
            </m:r>
          </m:e>
          <m:sub>
            <m:r>
              <m:t>g</m:t>
            </m:r>
          </m:sub>
          <m:sup>
            <m:r>
              <m:t>(</m:t>
            </m:r>
            <m:r>
              <m:t>t</m:t>
            </m:r>
            <m:r>
              <m:t>+</m:t>
            </m:r>
            <m:r>
              <m:t>1</m:t>
            </m:r>
            <m:r>
              <m:t>)</m:t>
            </m:r>
          </m:sup>
        </m:sSubSup>
        <m: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sSubSup>
          <m:e>
            <m:r>
              <m:t>θ</m:t>
            </m:r>
          </m:e>
          <m:sub>
            <m:r>
              <m:t>k</m:t>
            </m:r>
          </m:sub>
          <m:sup>
            <m:r>
              <m:t>(</m:t>
            </m:r>
            <m:r>
              <m:t>t</m:t>
            </m:r>
            <m:r>
              <m:t>)</m:t>
            </m:r>
          </m:sup>
        </m:sSubSup>
      </m:oMath>
      <w:r>
        <w:t xml:space="preserve">. If every client falls</w:t>
      </w:r>
      <w:r>
        <w:t xml:space="preserve"> </w:t>
      </w:r>
      <w:r>
        <w:t xml:space="preserve">below</w:t>
      </w:r>
      <w:r>
        <w:t xml:space="preserve"> </w:t>
      </w:r>
      <m:oMath>
        <m:r>
          <m:t>τ</m:t>
        </m:r>
      </m:oMath>
      <w:r>
        <w:t xml:space="preserve">, the scheme falls back to uniform weighting rather than</w:t>
      </w:r>
      <w:r>
        <w:t xml:space="preserve"> </w:t>
      </w:r>
      <w:r>
        <w:t xml:space="preserve">producing an undefined update. Setting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constant recovers</w:t>
      </w:r>
      <w:r>
        <w:t xml:space="preserve"> </w:t>
      </w:r>
      <w:r>
        <w:t xml:space="preserve">(</w:t>
      </w:r>
      <w:hyperlink w:anchor="eq:fedavg">
        <w:r>
          <w:rPr>
            <w:rStyle w:val="Hyperlink"/>
          </w:rPr>
          <w:t xml:space="preserve">[eq:fedavg]</w:t>
        </w:r>
      </w:hyperlink>
      <w:r>
        <w:t xml:space="preserve">).</w:t>
      </w:r>
    </w:p>
    <w:p>
      <w:pPr>
        <w:pStyle w:val="Heading2"/>
      </w:pPr>
      <w:bookmarkStart w:id="36" w:name="sec:expltrust"/>
      <w:r>
        <w:t xml:space="preserve">Explanation-Based Trust</w:t>
      </w:r>
      <w:bookmarkEnd w:id="36"/>
    </w:p>
    <w:p>
      <w:pPr>
        <w:pStyle w:val="FirstParagraph"/>
      </w:pPr>
      <w:r>
        <w:t xml:space="preserve">For a linear model, the exact SHAP value of feature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input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in log-odds space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j</m:t>
              </m:r>
            </m:sub>
          </m:sSub>
          <m:r>
            <m:t>(</m:t>
          </m:r>
          <m:r>
            <m:rPr>
              <m:sty m:val="b"/>
            </m:rPr>
            <m:t>x</m:t>
          </m:r>
          <m:r>
            <m:t>)</m:t>
          </m:r>
          <m:r>
            <m:t>=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−</m:t>
              </m:r>
              <m:r>
                <m:rPr>
                  <m:sty m:val="p"/>
                  <m:scr m:val="double-struck"/>
                </m:rPr>
                <m:t>E</m:t>
              </m:r>
              <m:r>
                <m:t>[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]</m:t>
              </m:r>
            </m:e>
          </m:d>
          <m:r>
            <m:t>.</m:t>
          </m:r>
        </m:oMath>
      </m:oMathPara>
    </w:p>
    <w:p>
      <w:pPr>
        <w:pStyle w:val="FirstParagraph"/>
      </w:pPr>
      <w:r>
        <w:t xml:space="preserve">Aggregating over the shared reference set gives a per-client</w:t>
      </w:r>
      <w:r>
        <w:t xml:space="preserve"> </w:t>
      </w:r>
      <w:r>
        <w:rPr>
          <w:i/>
        </w:rPr>
        <w:t xml:space="preserve">signature</w:t>
      </w:r>
      <w:r>
        <w:t xml:space="preserve">, an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-normalised signed vector,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k</m:t>
                  </m:r>
                </m:sub>
              </m:sSub>
              <m:r>
                <m:t>⊙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t>)</m:t>
              </m:r>
            </m:num>
            <m:den>
              <m:r>
                <m:t>∥</m:t>
              </m:r>
              <m:sSub>
                <m:e>
                  <m:r>
                    <m:rPr>
                      <m:sty m:val="b"/>
                    </m:rPr>
                    <m:t>w</m:t>
                  </m:r>
                </m:e>
                <m:sub>
                  <m:r>
                    <m:t>k</m:t>
                  </m:r>
                </m:sub>
              </m:sSub>
              <m:r>
                <m:t>⊙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t>)</m:t>
              </m:r>
              <m:r>
                <m:t>∥</m:t>
              </m:r>
            </m:den>
          </m:f>
          <m:r>
            <m:t>.</m:t>
          </m:r>
        </m:oMath>
      </m:oMathPara>
    </w:p>
    <w:p>
      <w:pPr>
        <w:pStyle w:val="FirstParagraph"/>
      </w:pPr>
      <w:r>
        <w:t xml:space="preserve">The signature is signed rather than absolute, so a label-flipped model, whose</w:t>
      </w:r>
      <w:r>
        <w:t xml:space="preserve"> </w:t>
      </w:r>
      <w:r>
        <w:t xml:space="preserve">attributions point the wrong way, is anomalous even when its magnitude</w:t>
      </w:r>
      <w:r>
        <w:t xml:space="preserve"> </w:t>
      </w:r>
      <w:r>
        <w:t xml:space="preserve">profile is ordinary. Crucially,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computed by the server from the</w:t>
      </w:r>
      <w:r>
        <w:t xml:space="preserve"> </w:t>
      </w:r>
      <w:r>
        <w:t xml:space="preserve">submitted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 so a malicious client cannot report a favourable</w:t>
      </w:r>
      <w:r>
        <w:t xml:space="preserve"> </w:t>
      </w:r>
      <w:r>
        <w:t xml:space="preserve">explanation.</w:t>
      </w:r>
    </w:p>
    <w:p>
      <w:pPr>
        <w:pStyle w:val="Heading2"/>
      </w:pPr>
      <w:bookmarkStart w:id="37" w:name="kappa-extrapolation"/>
      <m:oMath>
        <m:r>
          <m:t>κ</m:t>
        </m:r>
      </m:oMath>
      <w:r>
        <w:t xml:space="preserve"> </w:t>
      </w:r>
      <w:r>
        <w:t xml:space="preserve">Extrapolation</w:t>
      </w:r>
      <w:bookmarkEnd w:id="37"/>
    </w:p>
    <w:p>
      <w:pPr>
        <w:pStyle w:val="FirstParagraph"/>
      </w:pPr>
      <w:r>
        <w:t xml:space="preserve">Early in training, individual updates are small and their signatures are</w:t>
      </w:r>
      <w:r>
        <w:t xml:space="preserve"> </w:t>
      </w:r>
      <w:r>
        <w:t xml:space="preserve">dominated by the shared global model, which compresses the difference</w:t>
      </w:r>
      <w:r>
        <w:t xml:space="preserve"> </w:t>
      </w:r>
      <w:r>
        <w:t xml:space="preserve">between honest and malicious clients. The server therefore extrapolates each</w:t>
      </w:r>
      <w:r>
        <w:t xml:space="preserve"> </w:t>
      </w:r>
      <w:r>
        <w:t xml:space="preserve">client’s update before taking the signature: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θ</m:t>
              </m:r>
            </m:e>
            <m:sub>
              <m:r>
                <m:t>k</m:t>
              </m:r>
            </m:sub>
            <m:sup>
              <m:r>
                <m:t>κ</m:t>
              </m:r>
            </m:sup>
          </m:sSubSup>
          <m:r>
            <m:t>=</m:t>
          </m:r>
          <m:sSub>
            <m:e>
              <m:r>
                <m:t>θ</m:t>
              </m:r>
            </m:e>
            <m:sub>
              <m:r>
                <m:t>g</m:t>
              </m:r>
            </m:sub>
          </m:sSub>
          <m:r>
            <m:t>+</m:t>
          </m:r>
          <m:r>
            <m:t>κ</m:t>
          </m:r>
          <m:r>
            <m:t> </m:t>
          </m:r>
          <m:r>
            <m:t>(</m:t>
          </m:r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t>−</m:t>
          </m:r>
          <m:sSub>
            <m:e>
              <m:r>
                <m:t>θ</m:t>
              </m:r>
            </m:e>
            <m:sub>
              <m:r>
                <m:t>g</m:t>
              </m:r>
            </m:sub>
          </m:sSub>
          <m:r>
            <m:t>)</m:t>
          </m:r>
          <m:r>
            <m:t>,</m:t>
          </m:r>
          <m:r>
            <m:t>  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t>​</m:t>
          </m:r>
          <m:d>
            <m:dPr>
              <m:begChr m:val="("/>
              <m:endChr m:val=")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k</m:t>
                  </m:r>
                </m:sub>
                <m:sup>
                  <m:r>
                    <m:t>κ</m:t>
                  </m:r>
                </m:sup>
              </m:sSubSup>
              <m:r>
                <m:t>,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</m:sub>
              </m:sSub>
            </m:e>
          </m:d>
          <m:r>
            <m:t>.</m:t>
          </m:r>
        </m:oMath>
      </m:oMathPara>
    </w:p>
    <w:p>
      <w:pPr>
        <w:pStyle w:val="FirstParagraph"/>
      </w:pPr>
      <w:r>
        <w:t xml:space="preserve">This amplifies the direction in which a client is pushing the model without</w:t>
      </w:r>
      <w:r>
        <w:t xml:space="preserve"> </w:t>
      </w:r>
      <w:r>
        <w:t xml:space="preserve">altering the aggregation itself. Detection quality is quantified by the</w:t>
      </w:r>
      <w:r>
        <w:t xml:space="preserve"> </w:t>
      </w:r>
      <w:r>
        <w:rPr>
          <w:i/>
        </w:rPr>
        <w:t xml:space="preserve">detection margin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=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k</m:t>
              </m:r>
              <m:r>
                <m:t>∉</m:t>
              </m:r>
              <m:r>
                <m:rPr>
                  <m:sty m:val="p"/>
                  <m:scr m:val="script"/>
                </m:rPr>
                <m:t>M</m:t>
              </m:r>
            </m:lim>
          </m:limLow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−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k</m:t>
              </m:r>
              <m:r>
                <m:t>∈</m:t>
              </m:r>
              <m:r>
                <m:rPr>
                  <m:sty m:val="p"/>
                  <m:scr m:val="script"/>
                </m:rPr>
                <m:t>M</m:t>
              </m:r>
            </m:lim>
          </m:limLow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which is positive only when every honest client is trusted more than every</w:t>
      </w:r>
      <w:r>
        <w:t xml:space="preserve"> </w:t>
      </w:r>
      <w:r>
        <w:t xml:space="preserve">attacker.</w:t>
      </w:r>
    </w:p>
    <w:p>
      <w:pPr>
        <w:pStyle w:val="Heading2"/>
      </w:pPr>
      <w:bookmarkStart w:id="38" w:name="shap-explainability"/>
      <w:r>
        <w:t xml:space="preserve">SHAP Explainability</w:t>
      </w:r>
      <w:bookmarkEnd w:id="38"/>
    </w:p>
    <w:p>
      <w:pPr>
        <w:pStyle w:val="FirstParagraph"/>
      </w:pPr>
      <w:r>
        <w:t xml:space="preserve">Equation (</w:t>
      </w:r>
      <w:hyperlink w:anchor="eq:shap">
        <w:r>
          <w:rPr>
            <w:rStyle w:val="Hyperlink"/>
          </w:rPr>
          <w:t xml:space="preserve">[eq:shap]</w:t>
        </w:r>
      </w:hyperlink>
      <w:r>
        <w:t xml:space="preserve">) provides per-patient attributions at no</w:t>
      </w:r>
      <w:r>
        <w:t xml:space="preserve"> </w:t>
      </w:r>
      <w:r>
        <w:t xml:space="preserve">approximation cost. The application renders them twice: as a signed bar chart</w:t>
      </w:r>
      <w:r>
        <w:t xml:space="preserve"> </w:t>
      </w:r>
      <w:r>
        <w:t xml:space="preserve">over all features, and as a ranked plain-language summary that separates</w:t>
      </w:r>
      <w:r>
        <w:t xml:space="preserve"> </w:t>
      </w:r>
      <w:r>
        <w:t xml:space="preserve">factors increasing from factors decreasing the predicted risk, annotated with</w:t>
      </w:r>
      <w:r>
        <w:t xml:space="preserve"> </w:t>
      </w:r>
      <w:r>
        <w:t xml:space="preserve">the patient’s own feature values in clinical units.</w:t>
      </w:r>
    </w:p>
    <w:p>
      <w:pPr>
        <w:pStyle w:val="Heading2"/>
      </w:pPr>
      <w:bookmarkStart w:id="39" w:name="prediction-and-graphical-interface"/>
      <w:r>
        <w:t xml:space="preserve">Prediction and Graphical Interface</w:t>
      </w:r>
      <w:bookmarkEnd w:id="39"/>
    </w:p>
    <w:p>
      <w:pPr>
        <w:pStyle w:val="FirstParagraph"/>
      </w:pPr>
      <w:r>
        <w:t xml:space="preserve">A PyQt6 desktop application exposes federated training configuration, live</w:t>
      </w:r>
      <w:r>
        <w:t xml:space="preserve"> </w:t>
      </w:r>
      <w:r>
        <w:t xml:space="preserve">per-round trust diagnostics, model evaluation, per-patient explanation and</w:t>
      </w:r>
      <w:r>
        <w:t xml:space="preserve"> </w:t>
      </w:r>
      <w:r>
        <w:t xml:space="preserve">tabular reporting. Predictions are presented as calibrated probabilities with</w:t>
      </w:r>
      <w:r>
        <w:t xml:space="preserve"> </w:t>
      </w:r>
      <w:r>
        <w:t xml:space="preserve">an explicit statement that they are risk estimates rather than diagnoses.</w:t>
      </w:r>
    </w:p>
    <w:p>
      <w:pPr>
        <w:pStyle w:val="Heading1"/>
        <w:jc w:val="center"/>
      </w:pPr>
      <w:bookmarkStart w:id="40" w:name="experimental-setup"/>
      <w:r>
        <w:rPr>
          <w:rFonts w:ascii="Times New Roman" w:hAnsi="Times New Roman"/>
          <w:b w:val="0"/>
          <w:sz w:val="20"/>
        </w:rPr>
        <w:t>IV.  EXPERIMENTAL SETUP</w:t>
      </w:r>
      <w:bookmarkEnd w:id="40"/>
    </w:p>
    <w:p>
      <w:pPr>
        <w:pStyle w:val="Heading2"/>
      </w:pPr>
      <w:bookmarkStart w:id="41" w:name="datasets"/>
      <w:r>
        <w:t xml:space="preserve">Datasets</w:t>
      </w:r>
      <w:bookmarkEnd w:id="41"/>
    </w:p>
    <w:p>
      <w:pPr>
        <w:pStyle w:val="FirstParagraph"/>
      </w:pPr>
      <w:r>
        <w:t xml:space="preserve">Five binary-outcome tabular clinical tasks are used</w:t>
      </w:r>
      <w:r>
        <w:t xml:space="preserve"> </w:t>
      </w:r>
      <w:r>
        <w:t xml:space="preserve">(Table </w:t>
      </w:r>
      <w:hyperlink w:anchor="tab:datasets">
        <w:r>
          <w:rPr>
            <w:rStyle w:val="Hyperlink"/>
          </w:rPr>
          <w:t xml:space="preserve">1</w:t>
        </w:r>
      </w:hyperlink>
      <w:r>
        <w:t xml:space="preserve">). The Breast Cancer Wisconsin (Diagnostic) data are</w:t>
      </w:r>
      <w:r>
        <w:t xml:space="preserve"> </w:t>
      </w:r>
      <w:r>
        <w:t xml:space="preserve">the real measurements distributed with scikit-learn [25, 26]. For the remaining four tasks, the repository supports</w:t>
      </w:r>
      <w:r>
        <w:t xml:space="preserve"> </w:t>
      </w:r>
      <w:r>
        <w:t xml:space="preserve">loading the corresponding public CSV files</w:t>
      </w:r>
      <w:r>
        <w:t xml:space="preserve"> </w:t>
      </w:r>
      <w:r>
        <w:t xml:space="preserve">[27, 28, 29, 30]; when those files are</w:t>
      </w:r>
      <w:r>
        <w:t xml:space="preserve"> </w:t>
      </w:r>
      <w:r>
        <w:t xml:space="preserve">absent—as in the runs reported here—the framework generates a</w:t>
      </w:r>
      <w:r>
        <w:t xml:space="preserve"> </w:t>
      </w:r>
      <w:r>
        <w:t xml:space="preserve">calibrated synthetic cohort with realistic marginal distributions,</w:t>
      </w:r>
      <w:r>
        <w:t xml:space="preserve"> </w:t>
      </w:r>
      <w:r>
        <w:t xml:space="preserve">correlations and outcome prevalence. All reported results for those four</w:t>
      </w:r>
      <w:r>
        <w:t xml:space="preserve"> </w:t>
      </w:r>
      <w:r>
        <w:t xml:space="preserve">tasks are therefore obtained on synthetic data, and this is a limitation</w:t>
      </w:r>
      <w:r>
        <w:t xml:space="preserve"> </w:t>
      </w:r>
      <w:r>
        <w:t xml:space="preserve">rather than a claim of clinical validity (Section </w:t>
      </w:r>
      <w:hyperlink w:anchor="sec:limits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42" w:name="tab:datasets"/>
    <w:p>
      <w:pPr>
        <w:pStyle w:val="TableCaption"/>
      </w:pPr>
      <w:r>
        <w:t xml:space="preserve">Datasets used in the experiments</w:t>
      </w:r>
    </w:p>
    <w:tbl>
      <w:tblPr>
        <w:tblStyle w:val="Table"/>
        <w:tblW w:type="pct" w:w="0.0"/>
        <w:tblLook w:firstRow="1"/>
        <w:tblCaption w:val="Datasets used in the experiments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right"/>
            </w:pPr>
            <m:oMath>
              <m:r>
                <m:t>n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Feat.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Pos.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Source in these runs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Heart Disease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1500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13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52.6%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Synthetic (UCI-like)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Pima Diabetes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1500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33.9%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Synthetic (Pima-like)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Breast Cancer Wisc.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569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37.3%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Real (scikit-learn)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Framingham CHD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2000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14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15.0%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Synthetic (FHS-like)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Stroke Prediction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2500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10</w:t>
            </w:r>
          </w:p>
        </w:tc>
        <w:tc>
          <w:p>
            <w:pPr>
              <w:pStyle w:val="Compact"/>
              <w:spacing w:after="0"/>
              <w:ind w:firstLine="0"/>
              <w:jc w:val="right"/>
            </w:pPr>
            <w:r>
              <w:rPr>
                <w:rFonts w:ascii="Times New Roman" w:hAnsi="Times New Roman"/>
                <w:sz w:val="16"/>
              </w:rPr>
              <w:t xml:space="preserve">9.8%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Synthetic (Kaggle-like)</w:t>
            </w:r>
          </w:p>
        </w:tc>
      </w:tr>
    </w:tbl>
    <w:bookmarkEnd w:id="42"/>
    <w:p>
      <w:pPr>
        <w:pStyle w:val="Heading2"/>
      </w:pPr>
      <w:bookmarkStart w:id="43" w:name="preprocessing-and-missing-values"/>
      <w:r>
        <w:t xml:space="preserve">Preprocessing and Missing Values</w:t>
      </w:r>
      <w:bookmarkEnd w:id="43"/>
    </w:p>
    <w:p>
      <w:pPr>
        <w:pStyle w:val="FirstParagraph"/>
      </w:pPr>
      <w:r>
        <w:t xml:space="preserve">Each dataset is split 75/25 into training and test partitions, stratified by</w:t>
      </w:r>
      <w:r>
        <w:t xml:space="preserve"> </w:t>
      </w:r>
      <w:r>
        <w:t xml:space="preserve">outcome. Features are standardised to zero mean and unit variance using</w:t>
      </w:r>
      <w:r>
        <w:t xml:space="preserve"> </w:t>
      </w:r>
      <w:r>
        <w:t xml:space="preserve">training-set statistics only, and the same statistics are applied to the test</w:t>
      </w:r>
      <w:r>
        <w:t xml:space="preserve"> </w:t>
      </w:r>
      <w:r>
        <w:t xml:space="preserve">partition and to any patient entered through the interface. For datasets</w:t>
      </w:r>
      <w:r>
        <w:t xml:space="preserve"> </w:t>
      </w:r>
      <w:r>
        <w:t xml:space="preserve">loaded from real CSV files, physiologically impossible zero entries in the</w:t>
      </w:r>
      <w:r>
        <w:t xml:space="preserve"> </w:t>
      </w:r>
      <w:r>
        <w:t xml:space="preserve">Pima data are treated as missing and imputed with the column median, and</w:t>
      </w:r>
      <w:r>
        <w:t xml:space="preserve"> </w:t>
      </w:r>
      <w:r>
        <w:t xml:space="preserve">categorical fields in the stroke data are integer-encoded; rows with residual</w:t>
      </w:r>
      <w:r>
        <w:t xml:space="preserve"> </w:t>
      </w:r>
      <w:r>
        <w:t xml:space="preserve">missing values are dropped. The synthetic generators do not produce missing</w:t>
      </w:r>
      <w:r>
        <w:t xml:space="preserve"> </w:t>
      </w:r>
      <w:r>
        <w:t xml:space="preserve">values.</w:t>
      </w:r>
    </w:p>
    <w:p>
      <w:pPr>
        <w:pStyle w:val="Heading2"/>
      </w:pPr>
      <w:bookmarkStart w:id="44" w:name="federated-configuration"/>
      <w:r>
        <w:t xml:space="preserve">Federated Configuration</w:t>
      </w:r>
      <w:bookmarkEnd w:id="44"/>
    </w:p>
    <w:p>
      <w:pPr>
        <w:pStyle w:val="FirstParagraph"/>
      </w:pPr>
      <w:r>
        <w:t xml:space="preserve">Table </w:t>
      </w:r>
      <w:hyperlink w:anchor="tab:config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lists the configuration used for all reported</w:t>
      </w:r>
      <w:r>
        <w:t xml:space="preserve"> </w:t>
      </w:r>
      <w:r>
        <w:t xml:space="preserve">experiments. The public reference set for attribution signatures contains</w:t>
      </w:r>
      <w:r>
        <w:t xml:space="preserve"> </w:t>
      </w:r>
      <m:oMath>
        <m:r>
          <m:rPr>
            <m:nor/>
            <m:sty m:val="p"/>
          </m:rPr>
          <m:t>min</m:t>
        </m:r>
        <m:r>
          <m:t>(</m:t>
        </m:r>
        <m:r>
          <m:t>200</m:t>
        </m:r>
        <m:r>
          <m:t>,</m:t>
        </m:r>
        <m:r>
          <m:t>|</m:t>
        </m:r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r>
          <m:t>|</m:t>
        </m:r>
        <m:r>
          <m:t>)</m:t>
        </m:r>
      </m:oMath>
      <w:r>
        <w:t xml:space="preserve"> </w:t>
      </w:r>
      <w:r>
        <w:t xml:space="preserve">samples drawn from the test pool; in a</w:t>
      </w:r>
      <w:r>
        <w:t xml:space="preserve"> </w:t>
      </w:r>
      <w:r>
        <w:t xml:space="preserve">deployment this would be a synthetic or public cohort rather than patient</w:t>
      </w:r>
      <w:r>
        <w:t xml:space="preserve"> </w:t>
      </w:r>
      <w:r>
        <w:t xml:space="preserve">records.</w:t>
      </w:r>
    </w:p>
    <w:bookmarkStart w:id="45" w:name="tab:config"/>
    <w:p>
      <w:pPr>
        <w:pStyle w:val="TableCaption"/>
      </w:pPr>
      <w:r>
        <w:t xml:space="preserve">Experimental configuration</w:t>
      </w:r>
    </w:p>
    <w:tbl>
      <w:tblPr>
        <w:tblStyle w:val="Table"/>
        <w:tblW w:type="pct" w:w="0.0"/>
        <w:tblLook w:firstRow="1"/>
        <w:tblCaption w:val="Experimental configuration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Value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Clients (hospitals)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K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6 (experiments); 5 (interface default)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Federated rounds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30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Local epochs / round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Learning rate, batch,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0.15, 32,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Model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Logistic regression, mini-batch SGD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Partition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Dirichlet,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  <m:r>
                <m:t>=</m:t>
              </m:r>
              <m:r>
                <m:t>0.5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Train/test split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75% / 25%, stratified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Trust weighting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α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0.0 (final, from E6)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Extrapolation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κ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4.0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EMA memory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0.6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Weight exponent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γ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2.0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Exclusion threshold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τ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0.25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Seeds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42, 43, 44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Framework</w:t>
            </w:r>
          </w:p>
        </w:tc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Flower [19]</w:t>
            </w:r>
          </w:p>
        </w:tc>
      </w:tr>
    </w:tbl>
    <w:bookmarkEnd w:id="45"/>
    <w:p>
      <w:pPr>
        <w:pStyle w:val="Heading2"/>
      </w:pPr>
      <w:bookmarkStart w:id="46" w:name="attacks-baselines-and-metrics"/>
      <w:r>
        <w:t xml:space="preserve">Attacks, Baselines and Metrics</w:t>
      </w:r>
      <w:bookmarkEnd w:id="46"/>
    </w:p>
    <w:p>
      <w:pPr>
        <w:pStyle w:val="FirstParagraph"/>
      </w:pPr>
      <w:r>
        <w:t xml:space="preserve">Malicious clients are assigned by index so that the attacked configuration is</w:t>
      </w:r>
      <w:r>
        <w:t xml:space="preserve"> </w:t>
      </w:r>
      <w:r>
        <w:t xml:space="preserve">identical across strategies and seeds: one attacker is client 2 (label</w:t>
      </w:r>
      <w:r>
        <w:t xml:space="preserve"> </w:t>
      </w:r>
      <w:r>
        <w:t xml:space="preserve">flipping); two attackers add client 4 (noise); three attackers add client 1</w:t>
      </w:r>
      <w:r>
        <w:t xml:space="preserve"> </w:t>
      </w:r>
      <w:r>
        <w:t xml:space="preserve">(scaled poisoning). Trust-weighted aggregation is compared against FedAvg</w:t>
      </w:r>
      <w:r>
        <w:t xml:space="preserve"> </w:t>
      </w:r>
      <w:r>
        <w:t xml:space="preserve">(</w:t>
      </w:r>
      <w:hyperlink w:anchor="eq:fedavg">
        <w:r>
          <w:rPr>
            <w:rStyle w:val="Hyperlink"/>
          </w:rPr>
          <w:t xml:space="preserve">[eq:fedavg]</w:t>
        </w:r>
      </w:hyperlink>
      <w:r>
        <w:t xml:space="preserve">) and the coordinate-wise median [12].</w:t>
      </w:r>
      <w:r>
        <w:t xml:space="preserve"> </w:t>
      </w:r>
      <w:r>
        <w:t xml:space="preserve">Performance is reported as test-set ROC-AUC of the final global model,</w:t>
      </w:r>
      <w:r>
        <w:t xml:space="preserve"> </w:t>
      </w:r>
      <w:r>
        <w:t xml:space="preserve">averaged over three seeds with standard deviation; robustness of detection is</w:t>
      </w:r>
      <w:r>
        <w:t xml:space="preserve"> </w:t>
      </w:r>
      <w:r>
        <w:t xml:space="preserve">reported as the margin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 (</w:t>
      </w:r>
      <w:hyperlink w:anchor="eq:margin">
        <w:r>
          <w:rPr>
            <w:rStyle w:val="Hyperlink"/>
          </w:rPr>
          <w:t xml:space="preserve">[eq:margin]</w:t>
        </w:r>
      </w:hyperlink>
      <w:r>
        <w:t xml:space="preserve">).</w:t>
      </w:r>
    </w:p>
    <w:p>
      <w:pPr>
        <w:pStyle w:val="Heading2"/>
      </w:pPr>
      <w:bookmarkStart w:id="47" w:name="selection-of-alpha-and-kappa"/>
      <w:r>
        <w:t xml:space="preserve">Selection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κ</m:t>
        </m:r>
      </m:oMath>
      <w:bookmarkEnd w:id="47"/>
    </w:p>
    <w:p>
      <w:pPr>
        <w:pStyle w:val="FirstParagraph"/>
      </w:pPr>
      <m:oMath>
        <m:r>
          <m:t>κ</m:t>
        </m:r>
      </m:oMath>
      <w:r>
        <w:t xml:space="preserve"> </w:t>
      </w:r>
      <w:r>
        <w:t xml:space="preserve">was selected from the sweep in Section </w:t>
      </w:r>
      <w:hyperlink w:anchor="sec:e3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from the sweep in Section </w:t>
      </w:r>
      <w:hyperlink w:anchor="sec:e6">
        <w:r>
          <w:rPr>
            <w:rStyle w:val="Hyperlink"/>
          </w:rPr>
          <w:t xml:space="preserve">5.6</w:t>
        </w:r>
      </w:hyperlink>
      <w:r>
        <w:t xml:space="preserve">. Neither was tuned on a separate</w:t>
      </w:r>
      <w:r>
        <w:t xml:space="preserve"> </w:t>
      </w:r>
      <w:r>
        <w:t xml:space="preserve">criterion, and no other hyperparameter was adjusted while these sweeps were</w:t>
      </w:r>
      <w:r>
        <w:t xml:space="preserve"> </w:t>
      </w:r>
      <w:r>
        <w:t xml:space="preserve">performed.</w:t>
      </w:r>
    </w:p>
    <w:p>
      <w:pPr>
        <w:pStyle w:val="Heading1"/>
        <w:jc w:val="center"/>
      </w:pPr>
      <w:bookmarkStart w:id="48" w:name="results-and-discussion"/>
      <w:r>
        <w:rPr>
          <w:rFonts w:ascii="Times New Roman" w:hAnsi="Times New Roman"/>
          <w:b w:val="0"/>
          <w:sz w:val="20"/>
        </w:rPr>
        <w:t>V.  RESULTS AND DISCUSSION</w:t>
      </w:r>
      <w:bookmarkEnd w:id="48"/>
    </w:p>
    <w:p>
      <w:pPr>
        <w:pStyle w:val="FirstParagraph"/>
      </w:pPr>
      <w:r>
        <w:t xml:space="preserve">Unless stated otherwise, results use the Heart Disease task with</w:t>
      </w:r>
      <w:r>
        <w:t xml:space="preserve"> </w:t>
      </w:r>
      <m:oMath>
        <m:r>
          <m:t>K</m:t>
        </m:r>
        <m: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30 rounds, and three seeds; means are reported with standard deviation.</w:t>
      </w:r>
      <w:r>
        <w:t xml:space="preserve"> </w:t>
      </w:r>
      <w:r>
        <w:t xml:space="preserve">Sections </w:t>
      </w:r>
      <w:hyperlink w:anchor="sec:e1">
        <w:r>
          <w:rPr>
            <w:rStyle w:val="Hyperlink"/>
          </w:rPr>
          <w:t xml:space="preserve">5.1</w:t>
        </w:r>
      </w:hyperlink>
      <w:r>
        <w:t xml:space="preserve">,</w:t>
      </w:r>
      <w:r>
        <w:t xml:space="preserve"> </w:t>
      </w:r>
      <w:hyperlink w:anchor="sec:e3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and</w:t>
      </w:r>
      <w:r>
        <w:t xml:space="preserve"> </w:t>
      </w:r>
      <w:hyperlink w:anchor="sec:e5">
        <w:r>
          <w:rPr>
            <w:rStyle w:val="Hyperlink"/>
          </w:rPr>
          <w:t xml:space="preserve">5.5</w:t>
        </w:r>
      </w:hyperlink>
      <w:r>
        <w:t xml:space="preserve"> </w:t>
      </w:r>
      <w:r>
        <w:t xml:space="preserve">use the final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configuration.</w:t>
      </w:r>
    </w:p>
    <w:p>
      <w:pPr>
        <w:pStyle w:val="Heading2"/>
      </w:pPr>
      <w:bookmarkStart w:id="49" w:name="sec:e1"/>
      <w:r>
        <w:t xml:space="preserve">E1: Malicious-Client Fraction</w:t>
      </w:r>
      <w:bookmarkEnd w:id="49"/>
    </w:p>
    <w:p>
      <w:pPr>
        <w:pStyle w:val="FirstParagraph"/>
      </w:pPr>
      <w:r>
        <w:t xml:space="preserve">Table </w:t>
      </w:r>
      <w:hyperlink w:anchor="tab:e1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and Fig. </w:t>
      </w:r>
      <w:hyperlink w:anchor="fig:e1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 final AUC as the fraction of</w:t>
      </w:r>
      <w:r>
        <w:t xml:space="preserve"> </w:t>
      </w:r>
      <w:r>
        <w:t xml:space="preserve">malicious clients increases. With no attacker, all three aggregation rules</w:t>
      </w:r>
      <w:r>
        <w:t xml:space="preserve"> </w:t>
      </w:r>
      <w:r>
        <w:t xml:space="preserve">are equivalent, as expected: trust weighting does not help when there is</w:t>
      </w:r>
      <w:r>
        <w:t xml:space="preserve"> </w:t>
      </w:r>
      <w:r>
        <w:t xml:space="preserve">nothing to defend against. The strategies separate once attackers are</w:t>
      </w:r>
      <w:r>
        <w:t xml:space="preserve"> </w:t>
      </w:r>
      <w:r>
        <w:t xml:space="preserve">present. At two of six malicious clients, FedAvg falls to</w:t>
      </w:r>
      <w:r>
        <w:t xml:space="preserve"> </w:t>
      </w:r>
      <m:oMath>
        <m:r>
          <m:t>0.769</m:t>
        </m:r>
        <m:r>
          <m:t>±</m:t>
        </m:r>
        <m:r>
          <m:t>0.067</m:t>
        </m:r>
      </m:oMath>
      <w:r>
        <w:t xml:space="preserve"> </w:t>
      </w:r>
      <w:r>
        <w:t xml:space="preserve">while trust weighting holds</w:t>
      </w:r>
      <w:r>
        <w:t xml:space="preserve"> </w:t>
      </w:r>
      <m:oMath>
        <m:r>
          <m:t>0.810</m:t>
        </m:r>
        <m:r>
          <m:t>±</m:t>
        </m:r>
        <m:r>
          <m:t>0.018</m:t>
        </m:r>
      </m:oMath>
      <w:r>
        <w:t xml:space="preserve">; the</w:t>
      </w:r>
      <w:r>
        <w:t xml:space="preserve"> </w:t>
      </w:r>
      <w:r>
        <w:t xml:space="preserve">increased standard deviation of FedAvg indicates that the damage depends</w:t>
      </w:r>
      <w:r>
        <w:t xml:space="preserve"> </w:t>
      </w:r>
      <w:r>
        <w:t xml:space="preserve">strongly on the particular partition. The coordinate-wise median remains</w:t>
      </w:r>
      <w:r>
        <w:t xml:space="preserve"> </w:t>
      </w:r>
      <w:r>
        <w:t xml:space="preserve">competitive throughout, which is consistent with its design: it is a robust</w:t>
      </w:r>
      <w:r>
        <w:t xml:space="preserve"> </w:t>
      </w:r>
      <w:r>
        <w:t xml:space="preserve">estimator, and the attacks used here are not tailored to defeat it</w:t>
      </w:r>
      <w:r>
        <w:t xml:space="preserve"> </w:t>
      </w:r>
      <w:r>
        <w:t xml:space="preserve">[9].</w:t>
      </w:r>
    </w:p>
    <w:bookmarkStart w:id="50" w:name="tab:e1"/>
    <w:p>
      <w:pPr>
        <w:pStyle w:val="TableCaption"/>
      </w:pPr>
      <w:r>
        <w:t xml:space="preserve">E1: final AUC vs. malicious fraction (mean</w:t>
      </w:r>
      <w:r>
        <w:t xml:space="preserve"> </w:t>
      </w:r>
      <m:oMath>
        <m:r>
          <m:t>±</m:t>
        </m:r>
      </m:oMath>
      <w:r>
        <w:t xml:space="preserve"> </w:t>
      </w:r>
      <w:r>
        <w:t xml:space="preserve">sd, 3 seeds)</w:t>
      </w:r>
    </w:p>
    <w:tbl>
      <w:tblPr>
        <w:tblStyle w:val="Table"/>
        <w:tblW w:type="pct" w:w="0.0"/>
        <w:tblLook w:firstRow="1"/>
        <w:tblCaption w:val="E1: final AUC vs. malicious fraction (mean \pm sd, 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Malicious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Trust-Aware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FedAvg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Median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0/6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0.808</m:t>
              </m:r>
              <m:r>
                <m:t>±</m:t>
              </m:r>
              <m:r>
                <m:t>0.015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0.808</m:t>
              </m:r>
              <m:r>
                <m:t>±</m:t>
              </m:r>
              <m:r>
                <m:t>0.014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0.807</m:t>
              </m:r>
              <m:r>
                <m:t>±</m:t>
              </m:r>
              <m:r>
                <m:t>0.018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1/6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0.807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0.016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0.806</m:t>
              </m:r>
              <m:r>
                <m:t>±</m:t>
              </m:r>
              <m:r>
                <m:t>0.015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0.796</m:t>
              </m:r>
              <m:r>
                <m:t>±</m:t>
              </m:r>
              <m:r>
                <m:t>0.019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2/6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0.810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0.018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0.769</m:t>
              </m:r>
              <m:r>
                <m:t>±</m:t>
              </m:r>
              <m:r>
                <m:t>0.067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0.802</m:t>
              </m:r>
              <m:r>
                <m:t>±</m:t>
              </m:r>
              <m:r>
                <m:t>0.013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3/6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0.806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0.020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0.775</m:t>
              </m:r>
              <m:r>
                <m:t>±</m:t>
              </m:r>
              <m:r>
                <m:t>0.059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0.789</m:t>
              </m:r>
              <m:r>
                <m:t>±</m:t>
              </m:r>
              <m:r>
                <m:t>0.036</m:t>
              </m:r>
            </m:oMath>
          </w:p>
        </w:tc>
      </w:tr>
    </w:tbl>
    <w:bookmarkEnd w:id="50"/>
    <w:p>
      <w:pPr>
        <w:pStyle w:val="CaptionedFigure"/>
        <w:ind w:firstLine="0"/>
        <w:jc w:val="center"/>
      </w:pPr>
      <w:bookmarkStart w:id="52" w:name="fig:e1"/>
      <w:r>
        <w:drawing>
          <wp:inline>
            <wp:extent cx="2880360" cy="1851660"/>
            <wp:effectExtent b="0" l="0" r="0" t="0"/>
            <wp:docPr descr="E1: robustness to increasing attack fraction, \alpha=0." title="" id="1" name="Picture"/>
            <a:graphic>
              <a:graphicData uri="http://schemas.openxmlformats.org/drawingml/2006/picture">
                <pic:pic>
                  <pic:nvPicPr>
                    <pic:cNvPr descr="e1_robustnes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E1: robustness to increasing attack fraction,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.</w:t>
      </w:r>
    </w:p>
    <w:p>
      <w:pPr>
        <w:pStyle w:val="Heading2"/>
      </w:pPr>
      <w:bookmarkStart w:id="53" w:name="sec:e2"/>
      <w:r>
        <w:t xml:space="preserve">E2: Trust-Component Ablation</w:t>
      </w:r>
      <w:bookmarkEnd w:id="53"/>
    </w:p>
    <w:p>
      <w:pPr>
        <w:pStyle w:val="FirstParagraph"/>
      </w:pPr>
      <w:r>
        <w:t xml:space="preserve">Table </w:t>
      </w:r>
      <w:hyperlink w:anchor="tab:e2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isolates the two trust signals at two of six malicious</w:t>
      </w:r>
      <w:r>
        <w:t xml:space="preserve"> </w:t>
      </w:r>
      <w:r>
        <w:t xml:space="preserve">clients. Using update similarity alone (</w:t>
      </w:r>
      <m:oMath>
        <m:r>
          <m:t>α</m:t>
        </m:r>
        <m:r>
          <m:t>=</m:t>
        </m:r>
        <m:r>
          <m:t>1</m:t>
        </m:r>
      </m:oMath>
      <w:r>
        <w:t xml:space="preserve">) yields a</w:t>
      </w:r>
      <w:r>
        <w:t xml:space="preserve"> </w:t>
      </w:r>
      <w:r>
        <w:rPr>
          <w:i/>
        </w:rPr>
        <w:t xml:space="preserve">negative</w:t>
      </w:r>
      <w:r>
        <w:t xml:space="preserve"> </w:t>
      </w:r>
      <w:r>
        <w:t xml:space="preserve">margin,</w:t>
      </w:r>
      <w:r>
        <w:t xml:space="preserve"> </w:t>
      </w:r>
      <m:oMath>
        <m:r>
          <m:t>−</m:t>
        </m:r>
        <m:r>
          <m:t>0.095</m:t>
        </m:r>
        <m:r>
          <m:t>±</m:t>
        </m:r>
        <m:r>
          <m:t>0.127</m:t>
        </m:r>
      </m:oMath>
      <w:r>
        <w:t xml:space="preserve">: at least one attacker is trusted more than at</w:t>
      </w:r>
      <w:r>
        <w:t xml:space="preserve"> </w:t>
      </w:r>
      <w:r>
        <w:t xml:space="preserve">least one honest client, so the ordering is not usable for exclusion. Adding</w:t>
      </w:r>
      <w:r>
        <w:t xml:space="preserve"> </w:t>
      </w:r>
      <w:r>
        <w:t xml:space="preserve">explanation consistency reverses this, and using explanation consistency</w:t>
      </w:r>
      <w:r>
        <w:t xml:space="preserve"> </w:t>
      </w:r>
      <w:r>
        <w:t xml:space="preserve">alone gives the largest margin,</w:t>
      </w:r>
      <w:r>
        <w:t xml:space="preserve"> </w:t>
      </w:r>
      <m:oMath>
        <m:r>
          <m:t>+</m:t>
        </m:r>
        <m:r>
          <m:t>0.513</m:t>
        </m:r>
        <m:r>
          <m:t>±</m:t>
        </m:r>
        <m:r>
          <m:t>0.296</m:t>
        </m:r>
      </m:oMath>
      <w:r>
        <w:t xml:space="preserve">. AUC differences among the</w:t>
      </w:r>
      <w:r>
        <w:t xml:space="preserve"> </w:t>
      </w:r>
      <w:r>
        <w:t xml:space="preserve">three settings are small relative to seed variance. This experiment sets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explicitly and is therefore unaffected by the choice of default.</w:t>
      </w:r>
    </w:p>
    <w:bookmarkStart w:id="54" w:name="tab:e2"/>
    <w:p>
      <w:pPr>
        <w:pStyle w:val="TableCaption"/>
      </w:pPr>
      <w:r>
        <w:t xml:space="preserve">E2: trust-component ablation, 2/6 malicious (3 seeds)</w:t>
      </w:r>
    </w:p>
    <w:tbl>
      <w:tblPr>
        <w:tblStyle w:val="Table"/>
        <w:tblW w:type="pct" w:w="0.0"/>
        <w:tblLook w:firstRow="1"/>
        <w:tblCaption w:val="E2: trust-component ablation, 2/6 malicious (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Trust 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Detection margin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Δ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Update only (</w:t>
            </w:r>
            <m:oMath>
              <m:r>
                <m:t>α</m:t>
              </m:r>
              <m: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16"/>
              </w:rPr>
              <w:t xml:space="preserve">)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0.800</m:t>
              </m:r>
              <m:r>
                <m:t>±</m:t>
              </m:r>
              <m:r>
                <m:t>0.017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−</m:t>
              </m:r>
              <m:r>
                <m:t>0.095</m:t>
              </m:r>
              <m:r>
                <m:t>±</m:t>
              </m:r>
              <m:r>
                <m:t>0.127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Both (</w:t>
            </w:r>
            <m:oMath>
              <m:r>
                <m:t>α</m:t>
              </m:r>
              <m:r>
                <m:t>=</m:t>
              </m:r>
              <m:r>
                <m:t>0.5</m:t>
              </m:r>
            </m:oMath>
            <w:r>
              <w:rPr>
                <w:rFonts w:ascii="Times New Roman" w:hAnsi="Times New Roman"/>
                <w:sz w:val="16"/>
              </w:rPr>
              <w:t xml:space="preserve">)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0.805</m:t>
              </m:r>
              <m:r>
                <m:t>±</m:t>
              </m:r>
              <m:r>
                <m:t>0.013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0.243</m:t>
              </m:r>
              <m:r>
                <m:t>±</m:t>
              </m:r>
              <m:r>
                <m:t>0.111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Explanation only (</w:t>
            </w:r>
            <m:oMath>
              <m:r>
                <m:t>α</m:t>
              </m:r>
              <m:r>
                <m:t>=</m:t>
              </m:r>
              <m:r>
                <m:t>0</m:t>
              </m:r>
            </m:oMath>
            <w:r>
              <w:rPr>
                <w:rFonts w:ascii="Times New Roman" w:hAnsi="Times New Roman"/>
                <w:sz w:val="16"/>
              </w:rPr>
              <w:t xml:space="preserve">)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0.810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0.018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0.513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0.296</m:t>
              </m:r>
            </m:oMath>
          </w:p>
        </w:tc>
      </w:tr>
    </w:tbl>
    <w:bookmarkEnd w:id="54"/>
    <w:p>
      <w:pPr>
        <w:pStyle w:val="CaptionedFigure"/>
        <w:ind w:firstLine="0"/>
        <w:jc w:val="center"/>
      </w:pPr>
      <w:bookmarkStart w:id="56" w:name="fig:e2"/>
      <w:r>
        <w:drawing>
          <wp:inline>
            <wp:extent cx="2880360" cy="1645920"/>
            <wp:effectExtent b="0" l="0" r="0" t="0"/>
            <wp:docPr descr="E2: contribution of the two trust signals." title="" id="1" name="Picture"/>
            <a:graphic>
              <a:graphicData uri="http://schemas.openxmlformats.org/drawingml/2006/picture">
                <pic:pic>
                  <pic:nvPicPr>
                    <pic:cNvPr descr="e2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E2: contribution of the two trust signals.</w:t>
      </w:r>
    </w:p>
    <w:p>
      <w:pPr>
        <w:pStyle w:val="Heading2"/>
      </w:pPr>
      <w:bookmarkStart w:id="57" w:name="sec:e3"/>
      <w:r>
        <w:t xml:space="preserve">E3: Extrapolation Sensitivity</w:t>
      </w:r>
      <w:bookmarkEnd w:id="57"/>
    </w:p>
    <w:p>
      <w:pPr>
        <w:pStyle w:val="FirstParagraph"/>
      </w:pPr>
      <w:r>
        <w:t xml:space="preserve">Table </w:t>
      </w:r>
      <w:hyperlink w:anchor="tab:e3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 Fig. </w:t>
      </w:r>
      <w:hyperlink w:anchor="fig:e3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sweep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with a single</w:t>
      </w:r>
      <w:r>
        <w:t xml:space="preserve"> </w:t>
      </w:r>
      <w:r>
        <w:t xml:space="preserve">label-flipping client. Without meaningful extrapolation (</w:t>
      </w:r>
      <m:oMath>
        <m:r>
          <m:t>κ</m:t>
        </m:r>
        <m:r>
          <m:t>=</m:t>
        </m:r>
        <m:r>
          <m:t>1</m:t>
        </m:r>
      </m:oMath>
      <w:r>
        <w:t xml:space="preserve">) the</w:t>
      </w:r>
      <w:r>
        <w:t xml:space="preserve"> </w:t>
      </w:r>
      <w:r>
        <w:t xml:space="preserve">margin is</w:t>
      </w:r>
      <w:r>
        <w:t xml:space="preserve"> </w:t>
      </w:r>
      <m:oMath>
        <m:r>
          <m:t>+</m:t>
        </m:r>
        <m:r>
          <m:t>0.066</m:t>
        </m:r>
        <m:r>
          <m:t>±</m:t>
        </m:r>
        <m:r>
          <m:t>0.048</m:t>
        </m:r>
      </m:oMath>
      <w:r>
        <w:t xml:space="preserve">, close to the point at which honest and</w:t>
      </w:r>
      <w:r>
        <w:t xml:space="preserve"> </w:t>
      </w:r>
      <w:r>
        <w:t xml:space="preserve">malicious clients are indistinguishable. The margin peaks at</w:t>
      </w:r>
      <w:r>
        <w:t xml:space="preserve"> </w:t>
      </w:r>
      <m:oMath>
        <m:r>
          <m:t>κ</m:t>
        </m:r>
        <m:r>
          <m:t>=</m:t>
        </m:r>
        <m:r>
          <m:t>4</m:t>
        </m:r>
      </m:oMath>
      <w:r>
        <w:t xml:space="preserve"> </w:t>
      </w:r>
      <w:r>
        <w:t xml:space="preserve">(</w:t>
      </w:r>
      <m:oMath>
        <m:r>
          <m:t>+</m:t>
        </m:r>
        <m:r>
          <m:t>0.807</m:t>
        </m:r>
        <m:r>
          <m:t>±</m:t>
        </m:r>
        <m:r>
          <m:t>0.080</m:t>
        </m:r>
      </m:oMath>
      <w:r>
        <w:t xml:space="preserve">) and declines for larger values, where extrapolation</w:t>
      </w:r>
      <w:r>
        <w:t xml:space="preserve"> </w:t>
      </w:r>
      <w:r>
        <w:t xml:space="preserve">begins to amplify noise as well as signal. This supports the central claim</w:t>
      </w:r>
      <w:r>
        <w:t xml:space="preserve"> </w:t>
      </w:r>
      <w:r>
        <w:t xml:space="preserve">that amplifying the update direction, rather than inspecting the raw update,</w:t>
      </w:r>
      <w:r>
        <w:t xml:space="preserve"> </w:t>
      </w:r>
      <w:r>
        <w:t xml:space="preserve">is what exposes inverted attribution. Note that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affects only trust</w:t>
      </w:r>
      <w:r>
        <w:t xml:space="preserve"> </w:t>
      </w:r>
      <w:r>
        <w:t xml:space="preserve">scoring; the aggregation in (</w:t>
      </w:r>
      <w:hyperlink w:anchor="eq:weights">
        <w:r>
          <w:rPr>
            <w:rStyle w:val="Hyperlink"/>
          </w:rPr>
          <w:t xml:space="preserve">[eq:weights]</w:t>
        </w:r>
      </w:hyperlink>
      <w:r>
        <w:t xml:space="preserve">) uses unmodified parameters.</w:t>
      </w:r>
    </w:p>
    <w:bookmarkStart w:id="58" w:name="tab:e3"/>
    <w:p>
      <w:pPr>
        <w:pStyle w:val="TableCaption"/>
      </w:pPr>
      <w:r>
        <w:t xml:space="preserve">E3: detection margin vs. </w:t>
      </w:r>
      <m:oMath>
        <m:r>
          <m:t>κ</m:t>
        </m:r>
      </m:oMath>
      <w:r>
        <w:t xml:space="preserve">, one label flipper (3 seeds)</w:t>
      </w:r>
    </w:p>
    <w:tbl>
      <w:tblPr>
        <w:tblStyle w:val="Table"/>
        <w:tblW w:type="pct" w:w="0.0"/>
        <w:tblLook w:firstRow="1"/>
        <w:tblCaption w:val="E3: detection margin vs. \kappa, one label flipper (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Extrapolation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κ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Detection margin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Δ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0.066</m:t>
              </m:r>
              <m:r>
                <m:t>±</m:t>
              </m:r>
              <m:r>
                <m:t>0.048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0.674</m:t>
              </m:r>
              <m:r>
                <m:t>±</m:t>
              </m:r>
              <m:r>
                <m:t>0.399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0.807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0.080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0.495</m:t>
              </m:r>
              <m:r>
                <m:t>±</m:t>
              </m:r>
              <m:r>
                <m:t>0.190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16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0.139</m:t>
              </m:r>
              <m:r>
                <m:t>±</m:t>
              </m:r>
              <m:r>
                <m:t>0.073</m:t>
              </m:r>
            </m:oMath>
          </w:p>
        </w:tc>
      </w:tr>
    </w:tbl>
    <w:bookmarkEnd w:id="58"/>
    <w:p>
      <w:pPr>
        <w:pStyle w:val="CaptionedFigure"/>
        <w:ind w:firstLine="0"/>
        <w:jc w:val="center"/>
      </w:pPr>
      <w:bookmarkStart w:id="60" w:name="fig:e3"/>
      <w:r>
        <w:drawing>
          <wp:inline>
            <wp:extent cx="2880360" cy="1772528"/>
            <wp:effectExtent b="0" l="0" r="0" t="0"/>
            <wp:docPr descr="E3: detection margin as a function of \kappa, \alpha=0." title="" id="1" name="Picture"/>
            <a:graphic>
              <a:graphicData uri="http://schemas.openxmlformats.org/drawingml/2006/picture">
                <pic:pic>
                  <pic:nvPicPr>
                    <pic:cNvPr descr="e3_kapp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77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E3: detection margin as a function of</w:t>
      </w:r>
      <w:r>
        <w:t xml:space="preserve"> </w:t>
      </w:r>
      <m:oMath>
        <m:r>
          <m:t>κ</m:t>
        </m:r>
      </m:oMath>
      <w:r>
        <w:t xml:space="preserve">,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.</w:t>
      </w:r>
    </w:p>
    <w:p>
      <w:pPr>
        <w:pStyle w:val="Heading2"/>
      </w:pPr>
      <w:bookmarkStart w:id="61" w:name="sec:e4"/>
      <w:r>
        <w:t xml:space="preserve">E4: Heterogeneity False Positives</w:t>
      </w:r>
      <w:bookmarkEnd w:id="61"/>
    </w:p>
    <w:p>
      <w:pPr>
        <w:pStyle w:val="FirstParagraph"/>
      </w:pPr>
      <w:r>
        <w:t xml:space="preserve">A robustness mechanism is only usable if it does not penalise honest</w:t>
      </w:r>
      <w:r>
        <w:t xml:space="preserve"> </w:t>
      </w:r>
      <w:r>
        <w:t xml:space="preserve">institutions whose patient populations differ. E4 runs with</w:t>
      </w:r>
      <w:r>
        <w:t xml:space="preserve"> </w:t>
      </w:r>
      <w:r>
        <w:rPr>
          <w:i/>
        </w:rPr>
        <w:t xml:space="preserve">no</w:t>
      </w:r>
      <w:r>
        <w:t xml:space="preserve"> </w:t>
      </w:r>
      <w:r>
        <w:t xml:space="preserve">attackers and varies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</m:oMath>
      <w:r>
        <w:t xml:space="preserve">, recording the minimum trust</w:t>
      </w:r>
      <w:r>
        <w:t xml:space="preserve"> </w:t>
      </w:r>
      <w:r>
        <w:t xml:space="preserve">assigned to any honest client (Table </w:t>
      </w:r>
      <w:hyperlink w:anchor="tab:e4">
        <w:r>
          <w:rPr>
            <w:rStyle w:val="Hyperlink"/>
          </w:rPr>
          <w:t xml:space="preserve">6</w:t>
        </w:r>
      </w:hyperlink>
      <w:r>
        <w:t xml:space="preserve">). Across the range tested,</w:t>
      </w:r>
      <w:r>
        <w:t xml:space="preserve"> </w:t>
      </w:r>
      <w:r>
        <w:t xml:space="preserve">the minimum honest trust remains between</w:t>
      </w:r>
      <w:r>
        <w:t xml:space="preserve"> </w:t>
      </w:r>
      <m:oMath>
        <m:r>
          <m:t>0.384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0.456</m:t>
        </m:r>
      </m:oMath>
      <w:r>
        <w:t xml:space="preserve">, above the</w:t>
      </w:r>
      <w:r>
        <w:t xml:space="preserve"> </w:t>
      </w:r>
      <w:r>
        <w:t xml:space="preserve">exclusion threshold</w:t>
      </w:r>
      <w:r>
        <w:t xml:space="preserve"> </w:t>
      </w:r>
      <m:oMath>
        <m:r>
          <m:t>τ</m:t>
        </m:r>
        <m:r>
          <m:t>=</m:t>
        </m:r>
        <m:r>
          <m:t>0.25</m:t>
        </m:r>
      </m:oMath>
      <w:r>
        <w:t xml:space="preserve">, so no honest client is excluded even at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sub>
        </m:sSub>
        <m:r>
          <m:t>=</m:t>
        </m:r>
        <m:r>
          <m:t>0.1</m:t>
        </m:r>
      </m:oMath>
      <w:r>
        <w:t xml:space="preserve">. These values were measured under the earlier</w:t>
      </w:r>
      <w:r>
        <w:t xml:space="preserve"> </w:t>
      </w:r>
      <m:oMath>
        <m:r>
          <m:t>α</m:t>
        </m:r>
        <m:r>
          <m:t>=</m:t>
        </m:r>
        <m:r>
          <m:t>0.5</m:t>
        </m:r>
      </m:oMath>
      <w:r>
        <w:t xml:space="preserve"> </w:t>
      </w:r>
      <w:r>
        <w:t xml:space="preserve">configuration and have not been re-measured at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they should therefore be read as evidence for the mixed-signal setting.</w:t>
      </w:r>
    </w:p>
    <w:bookmarkStart w:id="62" w:name="tab:e4"/>
    <w:p>
      <w:pPr>
        <w:pStyle w:val="TableCaption"/>
      </w:pPr>
      <w:r>
        <w:t xml:space="preserve">E4: minimum honest-client trust, no attackers (3 seeds)</w:t>
      </w:r>
    </w:p>
    <w:tbl>
      <w:tblPr>
        <w:tblStyle w:val="Table"/>
        <w:tblW w:type="pct" w:w="0.0"/>
        <w:tblLook w:firstRow="1"/>
        <w:tblCaption w:val="E4: minimum honest-client trust, no attackers (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Dirichlet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Min. honest trust</w:t>
            </w:r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0.1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0.432</m:t>
              </m:r>
              <m:r>
                <m:t>±</m:t>
              </m:r>
              <m:r>
                <m:t>0.023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0.5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0.411</m:t>
              </m:r>
              <m:r>
                <m:t>±</m:t>
              </m:r>
              <m:r>
                <m:t>0.025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1.0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0.384</m:t>
              </m:r>
              <m:r>
                <m:t>±</m:t>
              </m:r>
              <m:r>
                <m:t>0.065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5.0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0.456</m:t>
              </m:r>
              <m:r>
                <m:t>±</m:t>
              </m:r>
              <m:r>
                <m:t>0.013</m:t>
              </m:r>
            </m:oMath>
          </w:p>
        </w:tc>
      </w:tr>
    </w:tbl>
    <w:bookmarkEnd w:id="62"/>
    <w:p>
      <w:pPr>
        <w:pStyle w:val="Heading2"/>
      </w:pPr>
      <w:bookmarkStart w:id="63" w:name="sec:e5"/>
      <w:r>
        <w:t xml:space="preserve">E5: Cross-Dataset Generalisation</w:t>
      </w:r>
      <w:bookmarkEnd w:id="63"/>
    </w:p>
    <w:p>
      <w:pPr>
        <w:pStyle w:val="FirstParagraph"/>
      </w:pPr>
      <w:r>
        <w:t xml:space="preserve">Table </w:t>
      </w:r>
      <w:hyperlink w:anchor="tab:e5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repeats the two-of-six attack configuration on all five</w:t>
      </w:r>
      <w:r>
        <w:t xml:space="preserve"> </w:t>
      </w:r>
      <w:r>
        <w:t xml:space="preserve">tasks. Trust weighting attains the highest or joint-highest AUC on every</w:t>
      </w:r>
      <w:r>
        <w:t xml:space="preserve"> </w:t>
      </w:r>
      <w:r>
        <w:t xml:space="preserve">dataset. The largest gap appears on Breast Cancer Wisconsin, where FedAvg</w:t>
      </w:r>
      <w:r>
        <w:t xml:space="preserve"> </w:t>
      </w:r>
      <w:r>
        <w:t xml:space="preserve">collapses to</w:t>
      </w:r>
      <w:r>
        <w:t xml:space="preserve"> </w:t>
      </w:r>
      <m:oMath>
        <m:r>
          <m:t>0.657</m:t>
        </m:r>
      </m:oMath>
      <w:r>
        <w:t xml:space="preserve">: the label-flipping client inverts a model that is</w:t>
      </w:r>
      <w:r>
        <w:t xml:space="preserve"> </w:t>
      </w:r>
      <w:r>
        <w:t xml:space="preserve">otherwise highly separable, and sample-size weighting propagates that</w:t>
      </w:r>
      <w:r>
        <w:t xml:space="preserve"> </w:t>
      </w:r>
      <w:r>
        <w:t xml:space="preserve">inversion. Detection margins are positive on all five tasks, though smallest</w:t>
      </w:r>
      <w:r>
        <w:t xml:space="preserve"> </w:t>
      </w:r>
      <w:r>
        <w:t xml:space="preserve">on Stroke Prediction (</w:t>
      </w:r>
      <m:oMath>
        <m:r>
          <m:t>+</m:t>
        </m:r>
        <m:r>
          <m:t>0.199</m:t>
        </m:r>
      </m:oMath>
      <w:r>
        <w:t xml:space="preserve">), the most imbalanced task, where honest</w:t>
      </w:r>
      <w:r>
        <w:t xml:space="preserve"> </w:t>
      </w:r>
      <w:r>
        <w:t xml:space="preserve">clients disagree most and the explanation signal is correspondingly weaker.</w:t>
      </w:r>
    </w:p>
    <w:bookmarkStart w:id="64" w:name="tab:e5"/>
    <w:p>
      <w:pPr>
        <w:pStyle w:val="TableCaption"/>
      </w:pPr>
      <w:r>
        <w:t xml:space="preserve">E5: cross-dataset AUC and detection margin, 2/6 malicious</w:t>
      </w:r>
    </w:p>
    <w:tbl>
      <w:tblPr>
        <w:tblStyle w:val="Table"/>
        <w:tblW w:type="pct" w:w="0.0"/>
        <w:tblLook w:firstRow="1"/>
        <w:tblCaption w:val="E5: cross-dataset AUC and detection margin, 2/6 malicious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Trust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FedAvg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Median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m:oMath>
              <m:r>
                <m:t>Δ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Heart Disease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0.810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0.769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0.802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0.513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Pima Diabetes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0.895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0.874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0.891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0.688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Breast Cancer Wisc.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0.977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0.657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0.977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0.707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Framingham CHD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0.796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0.720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0.785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0.484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Stroke Prediction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0.909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0.828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0.891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0.199</m:t>
              </m:r>
            </m:oMath>
          </w:p>
        </w:tc>
      </w:tr>
    </w:tbl>
    <w:bookmarkEnd w:id="64"/>
    <w:p>
      <w:pPr>
        <w:pStyle w:val="CaptionedFigure"/>
        <w:ind w:firstLine="0"/>
        <w:jc w:val="center"/>
      </w:pPr>
      <w:bookmarkStart w:id="66" w:name="fig:e5"/>
      <w:r>
        <w:drawing>
          <wp:inline>
            <wp:extent cx="2880360" cy="1059972"/>
            <wp:effectExtent b="0" l="0" r="0" t="0"/>
            <wp:docPr descr="E5: cross-dataset robustness and honest/attacker separation." title="" id="1" name="Picture"/>
            <a:graphic>
              <a:graphicData uri="http://schemas.openxmlformats.org/drawingml/2006/picture">
                <pic:pic>
                  <pic:nvPicPr>
                    <pic:cNvPr descr="e5_datase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059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E5: cross-dataset robustness and honest/attacker separation.</w:t>
      </w:r>
    </w:p>
    <w:p>
      <w:pPr>
        <w:pStyle w:val="Heading2"/>
      </w:pPr>
      <w:bookmarkStart w:id="67" w:name="sec:e6"/>
      <w:r>
        <w:t xml:space="preserve">E6: Sensitivity to the Trust Weighting</w:t>
      </w:r>
      <w:r>
        <w:t xml:space="preserve"> </w:t>
      </w:r>
      <m:oMath>
        <m:r>
          <m:t>α</m:t>
        </m:r>
      </m:oMath>
      <w:bookmarkEnd w:id="67"/>
    </w:p>
    <w:p>
      <w:pPr>
        <w:pStyle w:val="FirstParagraph"/>
      </w:pPr>
      <w:r>
        <w:t xml:space="preserve">Table </w:t>
      </w:r>
      <w:hyperlink w:anchor="tab:e6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 Fig. </w:t>
      </w:r>
      <w:hyperlink w:anchor="fig:e6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sweep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{</m:t>
        </m:r>
        <m:r>
          <m:t>0</m:t>
        </m:r>
        <m:r>
          <m:t>,</m:t>
        </m:r>
        <m:r>
          <m:t>0.25</m:t>
        </m:r>
        <m:r>
          <m:t>,</m:t>
        </m:r>
        <m:r>
          <m:t>0.5</m:t>
        </m:r>
        <m:r>
          <m:t>,</m:t>
        </m:r>
        <m:r>
          <m:t>0.75</m:t>
        </m:r>
        <m:r>
          <m:t>,</m:t>
        </m:r>
        <m:r>
          <m:t>1</m:t>
        </m:r>
        <m:r>
          <m:t>}</m:t>
        </m:r>
      </m:oMath>
      <w:r>
        <w:t xml:space="preserve"> </w:t>
      </w:r>
      <w:r>
        <w:t xml:space="preserve">under the E2 protocol: same dataset, attack</w:t>
      </w:r>
      <w:r>
        <w:t xml:space="preserve"> </w:t>
      </w:r>
      <w:r>
        <w:t xml:space="preserve">configuration, partitions, seeds,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 evaluation, with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only variable.</w:t>
      </w:r>
    </w:p>
    <w:p>
      <w:pPr>
        <w:pStyle w:val="BodyText"/>
      </w:pPr>
      <w:r>
        <w:t xml:space="preserve">Three observations follow. First, the detection margin decreases</w:t>
      </w:r>
      <w:r>
        <w:t xml:space="preserve"> </w:t>
      </w:r>
      <w:r>
        <w:t xml:space="preserve">monotonically as the update-similarity contribution grows, from</w:t>
      </w:r>
      <w:r>
        <w:t xml:space="preserve"> </w:t>
      </w:r>
      <m:oMath>
        <m:r>
          <m:t>+</m:t>
        </m:r>
        <m:r>
          <m:t>0.514</m:t>
        </m:r>
        <m:r>
          <m:t>±</m:t>
        </m:r>
        <m:r>
          <m:t>0.296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−</m:t>
        </m:r>
        <m:r>
          <m:t>0.095</m:t>
        </m:r>
        <m:r>
          <m:t>±</m:t>
        </m:r>
        <m:r>
          <m:t>0.127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t>=</m:t>
        </m:r>
        <m:r>
          <m:t>1</m:t>
        </m:r>
      </m:oMath>
      <w:r>
        <w:t xml:space="preserve">, where</w:t>
      </w:r>
      <w:r>
        <w:t xml:space="preserve"> </w:t>
      </w:r>
      <w:r>
        <w:t xml:space="preserve">separation is lost entirely. Second, AUC varies comparatively little across</w:t>
      </w:r>
      <w:r>
        <w:t xml:space="preserve"> </w:t>
      </w:r>
      <w:r>
        <w:t xml:space="preserve">the sweep—from</w:t>
      </w:r>
      <w:r>
        <w:t xml:space="preserve"> </w:t>
      </w:r>
      <m:oMath>
        <m:r>
          <m:t>0.800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0.810</m:t>
        </m:r>
      </m:oMath>
      <w:r>
        <w:t xml:space="preserve">, a range of the same order as the</w:t>
      </w:r>
      <w:r>
        <w:t xml:space="preserve"> </w:t>
      </w:r>
      <w:r>
        <w:t xml:space="preserve">per-seed standard deviation—so AUC alone does not discriminate strongly</w:t>
      </w:r>
      <w:r>
        <w:t xml:space="preserve"> </w:t>
      </w:r>
      <w:r>
        <w:t xml:space="preserve">between settings. Third,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attains both the largest margin and the</w:t>
      </w:r>
      <w:r>
        <w:t xml:space="preserve"> </w:t>
      </w:r>
      <w:r>
        <w:t xml:space="preserve">highest mean AUC in this experimental environment.</w:t>
      </w:r>
    </w:p>
    <w:p>
      <w:pPr>
        <w:pStyle w:val="BodyText"/>
      </w:pP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was therefore adopted for the final configuration</w:t>
      </w:r>
      <w:r>
        <w:t xml:space="preserve"> </w:t>
      </w:r>
      <w:r>
        <w:rPr>
          <w:i/>
        </w:rPr>
        <w:t xml:space="preserve">primarily</w:t>
      </w:r>
      <w:r>
        <w:rPr>
          <w:i/>
        </w:rPr>
        <w:t xml:space="preserve"> </w:t>
      </w:r>
      <w:r>
        <w:rPr>
          <w:i/>
        </w:rPr>
        <w:t xml:space="preserve">on the basis of malicious-client separation</w:t>
      </w:r>
      <w:r>
        <w:t xml:space="preserve">. This should not be read as a</w:t>
      </w:r>
      <w:r>
        <w:t xml:space="preserve"> </w:t>
      </w:r>
      <w:r>
        <w:t xml:space="preserve">claim that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is universally optimal. The result is specific to these</w:t>
      </w:r>
      <w:r>
        <w:t xml:space="preserve"> </w:t>
      </w:r>
      <w:r>
        <w:t xml:space="preserve">datasets, this attack set, this model family and this partitioning; the</w:t>
      </w:r>
      <w:r>
        <w:t xml:space="preserve"> </w:t>
      </w:r>
      <w:r>
        <w:t xml:space="preserve">update-similarity term retains a clear purpose against attacks that preserve</w:t>
      </w:r>
      <w:r>
        <w:t xml:space="preserve"> </w:t>
      </w:r>
      <w:r>
        <w:t xml:space="preserve">attribution structure while inflating magnitude, and a different attack</w:t>
      </w:r>
      <w:r>
        <w:t xml:space="preserve"> </w:t>
      </w:r>
      <w:r>
        <w:t xml:space="preserve">mixture could favour a non-zero</w:t>
      </w:r>
      <w:r>
        <w:t xml:space="preserve"> </w:t>
      </w:r>
      <m:oMath>
        <m:r>
          <m:t>α</m:t>
        </m:r>
      </m:oMath>
      <w:r>
        <w:t xml:space="preserve">. What the sweep does establish is</w:t>
      </w:r>
      <w:r>
        <w:t xml:space="preserve"> </w:t>
      </w:r>
      <w:r>
        <w:t xml:space="preserve">that, here, explanation consistency carries the discriminative signal and</w:t>
      </w:r>
      <w:r>
        <w:t xml:space="preserve"> </w:t>
      </w:r>
      <w:r>
        <w:t xml:space="preserve">adding update similarity dilutes it.</w:t>
      </w:r>
    </w:p>
    <w:bookmarkStart w:id="68" w:name="tab:e6"/>
    <w:p>
      <w:pPr>
        <w:pStyle w:val="TableCaption"/>
      </w:pPr>
      <w:r>
        <w:t xml:space="preserve">E6: sensitivity to trust weighting</w:t>
      </w:r>
      <w:r>
        <w:t xml:space="preserve"> </w:t>
      </w:r>
      <m:oMath>
        <m:r>
          <m:t>α</m:t>
        </m:r>
      </m:oMath>
      <w:r>
        <w:t xml:space="preserve">, 2/6 malicious</w:t>
      </w:r>
      <w:r>
        <w:t xml:space="preserve"> </w:t>
      </w:r>
      <w:r>
        <w:t xml:space="preserve">(3 seeds)</w:t>
      </w:r>
    </w:p>
    <w:tbl>
      <w:tblPr>
        <w:tblStyle w:val="Table"/>
        <w:tblW w:type="pct" w:w="0.0"/>
        <w:tblLook w:firstRow="1"/>
        <w:tblCaption w:val="E6: sensitivity to trust weighting \alpha, 2/6 malicious (3 seeds)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left"/>
            </w:pPr>
            <m:oMath>
              <m:r>
                <m:t>α</m:t>
              </m:r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spacing w:after="0"/>
              <w:ind w:firstLine="0"/>
              <w:jc w:val="center"/>
            </w:pPr>
            <w:r>
              <w:rPr>
                <w:rFonts w:ascii="Times New Roman" w:hAnsi="Times New Roman"/>
                <w:sz w:val="16"/>
              </w:rPr>
              <w:t xml:space="preserve">Detection margin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Δ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0.00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0.810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0.018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0.514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0.296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0.25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0.810</m:t>
              </m:r>
              <m:r>
                <m:t>±</m:t>
              </m:r>
              <m:r>
                <m:t>0.018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0.413</m:t>
              </m:r>
              <m:r>
                <m:t>±</m:t>
              </m:r>
              <m:r>
                <m:t>0.187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0.50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0.805</m:t>
              </m:r>
              <m:r>
                <m:t>±</m:t>
              </m:r>
              <m:r>
                <m:t>0.013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0.243</m:t>
              </m:r>
              <m:r>
                <m:t>±</m:t>
              </m:r>
              <m:r>
                <m:t>0.111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0.75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0.805</m:t>
              </m:r>
              <m:r>
                <m:t>±</m:t>
              </m:r>
              <m:r>
                <m:t>0.014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+</m:t>
              </m:r>
              <m:r>
                <m:t>0.061</m:t>
              </m:r>
              <m:r>
                <m:t>±</m:t>
              </m:r>
              <m:r>
                <m:t>0.111</m:t>
              </m:r>
            </m:oMath>
          </w:p>
        </w:tc>
      </w:tr>
      <w:tr>
        <w:tc>
          <w:p>
            <w:pPr>
              <w:pStyle w:val="Compact"/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 xml:space="preserve">1.00</w:t>
            </w:r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0.800</m:t>
              </m:r>
              <m:r>
                <m:t>±</m:t>
              </m:r>
              <m:r>
                <m:t>0.017</m:t>
              </m:r>
            </m:oMath>
          </w:p>
        </w:tc>
        <w:tc>
          <w:p>
            <w:pPr>
              <w:pStyle w:val="Compact"/>
              <w:spacing w:after="0"/>
              <w:ind w:firstLine="0"/>
              <w:jc w:val="center"/>
            </w:pPr>
            <m:oMath>
              <m:r>
                <m:t>−</m:t>
              </m:r>
              <m:r>
                <m:t>0.095</m:t>
              </m:r>
              <m:r>
                <m:t>±</m:t>
              </m:r>
              <m:r>
                <m:t>0.127</m:t>
              </m:r>
            </m:oMath>
          </w:p>
        </w:tc>
      </w:tr>
    </w:tbl>
    <w:bookmarkEnd w:id="68"/>
    <w:p>
      <w:pPr>
        <w:pStyle w:val="CaptionedFigure"/>
        <w:ind w:firstLine="0"/>
        <w:jc w:val="center"/>
      </w:pPr>
      <w:bookmarkStart w:id="70" w:name="fig:e6"/>
      <w:r>
        <w:drawing>
          <wp:inline>
            <wp:extent cx="2880360" cy="1102050"/>
            <wp:effectExtent b="0" l="0" r="0" t="0"/>
            <wp:docPr descr="E6: \alpha against AUC (left) and detection margin (right)." title="" id="1" name="Picture"/>
            <a:graphic>
              <a:graphicData uri="http://schemas.openxmlformats.org/drawingml/2006/picture">
                <pic:pic>
                  <pic:nvPicPr>
                    <pic:cNvPr descr="e6_alph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10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E6: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against AUC (left) and detection margin (right).</w:t>
      </w:r>
    </w:p>
    <w:p>
      <w:pPr>
        <w:pStyle w:val="Heading1"/>
        <w:jc w:val="center"/>
      </w:pPr>
      <w:bookmarkStart w:id="71" w:name="explainability-and-graphical-interface"/>
      <w:r>
        <w:rPr>
          <w:rFonts w:ascii="Times New Roman" w:hAnsi="Times New Roman"/>
          <w:b w:val="0"/>
          <w:sz w:val="20"/>
        </w:rPr>
        <w:t>VI.  EXPLAINABILITY AND GRAPHICAL INTERFACE</w:t>
      </w:r>
      <w:bookmarkEnd w:id="71"/>
    </w:p>
    <w:p>
      <w:pPr>
        <w:pStyle w:val="FirstParagraph"/>
      </w:pPr>
      <w:r>
        <w:t xml:space="preserve">The application presents the prediction before any explanation. For a</w:t>
      </w:r>
      <w:r>
        <w:t xml:space="preserve"> </w:t>
      </w:r>
      <w:r>
        <w:t xml:space="preserve">selected patient it reports a risk category and the estimated probability,</w:t>
      </w:r>
      <w:r>
        <w:t xml:space="preserve"> </w:t>
      </w:r>
      <w:r>
        <w:t xml:space="preserve">followed by a ranked breakdown of the factors that increased and decreased</w:t>
      </w:r>
      <w:r>
        <w:t xml:space="preserve"> </w:t>
      </w:r>
      <w:r>
        <w:t xml:space="preserve">that estimate, each annotated with the patient’s own value in clinical units</w:t>
      </w:r>
      <w:r>
        <w:t xml:space="preserve"> </w:t>
      </w:r>
      <w:r>
        <w:t xml:space="preserve">and a qualitative strength. A plain-language summary names the strongest</w:t>
      </w:r>
      <w:r>
        <w:t xml:space="preserve"> </w:t>
      </w:r>
      <w:r>
        <w:t xml:space="preserve">contributor on each side. Below this, the technical view shows the signed</w:t>
      </w:r>
      <w:r>
        <w:t xml:space="preserve"> </w:t>
      </w:r>
      <w:r>
        <w:t xml:space="preserve">SHAP attribution over all features (Fig. </w:t>
      </w:r>
      <w:hyperlink w:anchor="fig:shap">
        <w:r>
          <w:rPr>
            <w:rStyle w:val="Hyperlink"/>
          </w:rPr>
          <w:t xml:space="preserve">7</w:t>
        </w:r>
      </w:hyperlink>
      <w:r>
        <w:t xml:space="preserve">), with the axis</w:t>
      </w:r>
      <w:r>
        <w:t xml:space="preserve"> </w:t>
      </w:r>
      <w:r>
        <w:t xml:space="preserve">labelled as impact on the prediction rather than as a clinical effect.</w:t>
      </w:r>
    </w:p>
    <w:p>
      <w:pPr>
        <w:pStyle w:val="CaptionedFigure"/>
        <w:ind w:firstLine="0"/>
        <w:jc w:val="center"/>
      </w:pPr>
      <w:bookmarkStart w:id="73" w:name="fig:shap"/>
      <w:r>
        <w:drawing>
          <wp:inline>
            <wp:extent cx="2880360" cy="1620202"/>
            <wp:effectExtent b="0" l="0" r="0" t="0"/>
            <wp:docPr descr="Per-patient attribution from ([eq:shap]) for one test patient. Positive values increase the predicted risk. Illustrative example produced by the project’s explainability module on the synthetic Heart Disease cohort." title="" id="1" name="Picture"/>
            <a:graphic>
              <a:graphicData uri="http://schemas.openxmlformats.org/drawingml/2006/picture">
                <pic:pic>
                  <pic:nvPicPr>
                    <pic:cNvPr descr="shap_examp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6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Per-patient attribution from (</w:t>
      </w:r>
      <w:hyperlink w:anchor="eq:shap">
        <w:r>
          <w:rPr>
            <w:rStyle w:val="Hyperlink"/>
          </w:rPr>
          <w:t xml:space="preserve">[eq:shap]</w:t>
        </w:r>
      </w:hyperlink>
      <w:r>
        <w:t xml:space="preserve">) for one test patient.</w:t>
      </w:r>
      <w:r>
        <w:t xml:space="preserve"> </w:t>
      </w:r>
      <w:r>
        <w:t xml:space="preserve">Positive values increase the predicted risk. Illustrative example produced</w:t>
      </w:r>
      <w:r>
        <w:t xml:space="preserve"> </w:t>
      </w:r>
      <w:r>
        <w:t xml:space="preserve">by the project’s explainability module on the synthetic Heart Disease</w:t>
      </w:r>
      <w:r>
        <w:t xml:space="preserve"> </w:t>
      </w:r>
      <w:r>
        <w:t xml:space="preserve">cohort.</w:t>
      </w:r>
    </w:p>
    <w:p>
      <w:pPr>
        <w:pStyle w:val="BodyText"/>
      </w:pPr>
      <w:r>
        <w:t xml:space="preserve">Categorical inputs are presented by name rather than by code—sex as</w:t>
      </w:r>
      <w:r>
        <w:t xml:space="preserve"> </w:t>
      </w:r>
      <w:r>
        <w:t xml:space="preserve">female/male, chest pain type, resting ECG, ST slope and thalassemia by their</w:t>
      </w:r>
      <w:r>
        <w:t xml:space="preserve"> </w:t>
      </w:r>
      <w:r>
        <w:t xml:space="preserve">category labels—while the numeric code required by the model is retained</w:t>
      </w:r>
      <w:r>
        <w:t xml:space="preserve"> </w:t>
      </w:r>
      <w:r>
        <w:t xml:space="preserve">internally, so the vector reaching the model is unchanged. The same interface</w:t>
      </w:r>
      <w:r>
        <w:t xml:space="preserve"> </w:t>
      </w:r>
      <w:r>
        <w:t xml:space="preserve">can explain either a held-out test patient or the patient just entered on the</w:t>
      </w:r>
      <w:r>
        <w:t xml:space="preserve"> </w:t>
      </w:r>
      <w:r>
        <w:t xml:space="preserve">prediction screen; in the latter case the explanation and the prediction</w:t>
      </w:r>
      <w:r>
        <w:t xml:space="preserve"> </w:t>
      </w:r>
      <w:r>
        <w:t xml:space="preserve">refer to the same input by construction.</w:t>
      </w:r>
    </w:p>
    <w:p>
      <w:pPr>
        <w:pStyle w:val="BodyText"/>
      </w:pPr>
      <w:r>
        <w:t xml:space="preserve">The reporting screen presents model performance, attack robustness,</w:t>
      </w:r>
      <w:r>
        <w:t xml:space="preserve"> </w:t>
      </w:r>
      <w:r>
        <w:t xml:space="preserve">per-client trust decomposition, the E1–E6 summary and cross-dataset results</w:t>
      </w:r>
      <w:r>
        <w:t xml:space="preserve"> </w:t>
      </w:r>
      <w:r>
        <w:t xml:space="preserve">as tables, reading from the stored experiment outputs rather than recomputing</w:t>
      </w:r>
      <w:r>
        <w:t xml:space="preserve"> </w:t>
      </w:r>
      <w:r>
        <w:t xml:space="preserve">them, and supports CSV export.</w:t>
      </w:r>
    </w:p>
    <w:p>
      <w:pPr>
        <w:pStyle w:val="BodyText"/>
      </w:pPr>
      <w:r>
        <w:t xml:space="preserve">Two framing decisions are deliberate. Attributions are described as</w:t>
      </w:r>
      <w:r>
        <w:t xml:space="preserve"> </w:t>
      </w:r>
      <w:r>
        <w:t xml:space="preserve">contributions of features to the model’s output, not as causal or clinical</w:t>
      </w:r>
      <w:r>
        <w:t xml:space="preserve"> </w:t>
      </w:r>
      <w:r>
        <w:t xml:space="preserve">statements, following the caution urged in the explainability literature</w:t>
      </w:r>
      <w:r>
        <w:t xml:space="preserve"> </w:t>
      </w:r>
      <w:r>
        <w:t xml:space="preserve">[16, 18]. Every prediction view carries an explicit</w:t>
      </w:r>
      <w:r>
        <w:t xml:space="preserve"> </w:t>
      </w:r>
      <w:r>
        <w:t xml:space="preserve">notice that the output is an AI-generated risk estimate and not a medical</w:t>
      </w:r>
      <w:r>
        <w:t xml:space="preserve"> </w:t>
      </w:r>
      <w:r>
        <w:t xml:space="preserve">diagnosis.</w:t>
      </w:r>
    </w:p>
    <w:p>
      <w:pPr>
        <w:pStyle w:val="Heading1"/>
        <w:jc w:val="center"/>
      </w:pPr>
      <w:bookmarkStart w:id="74" w:name="sec:limits"/>
      <w:r>
        <w:rPr>
          <w:rFonts w:ascii="Times New Roman" w:hAnsi="Times New Roman"/>
          <w:b w:val="0"/>
          <w:sz w:val="20"/>
        </w:rPr>
        <w:t>VII.  LIMITATIONS</w:t>
      </w:r>
      <w:bookmarkEnd w:id="74"/>
    </w:p>
    <w:p>
      <w:pPr>
        <w:pStyle w:val="FirstParagraph"/>
      </w:pPr>
      <w:r>
        <w:t xml:space="preserve">The following limitations bound the claims made here.</w:t>
      </w:r>
    </w:p>
    <w:p>
      <w:pPr>
        <w:pStyle w:val="BodyText"/>
      </w:pPr>
      <w:r>
        <w:rPr>
          <w:i/>
        </w:rPr>
        <w:t xml:space="preserve">Simulated federation.</w:t>
      </w:r>
      <w:r>
        <w:t xml:space="preserve"> </w:t>
      </w:r>
      <w:r>
        <w:t xml:space="preserve">All hospitals are simulated processes on one</w:t>
      </w:r>
      <w:r>
        <w:t xml:space="preserve"> </w:t>
      </w:r>
      <w:r>
        <w:t xml:space="preserve">machine. Real deployments face stragglers, dropout, heterogeneous compute,</w:t>
      </w:r>
      <w:r>
        <w:t xml:space="preserve"> </w:t>
      </w:r>
      <w:r>
        <w:t xml:space="preserve">communication failures and institutional governance, none of which are</w:t>
      </w:r>
      <w:r>
        <w:t xml:space="preserve"> </w:t>
      </w:r>
      <w:r>
        <w:t xml:space="preserve">modelled.</w:t>
      </w:r>
    </w:p>
    <w:p>
      <w:pPr>
        <w:pStyle w:val="BodyText"/>
      </w:pPr>
      <w:r>
        <w:rPr>
          <w:i/>
        </w:rPr>
        <w:t xml:space="preserve">Data provenance.</w:t>
      </w:r>
      <w:r>
        <w:t xml:space="preserve"> </w:t>
      </w:r>
      <w:r>
        <w:t xml:space="preserve">Only the Breast Cancer Wisconsin task uses real</w:t>
      </w:r>
      <w:r>
        <w:t xml:space="preserve"> </w:t>
      </w:r>
      <w:r>
        <w:t xml:space="preserve">measurements in the reported runs. The other four use calibrated synthetic</w:t>
      </w:r>
      <w:r>
        <w:t xml:space="preserve"> </w:t>
      </w:r>
      <w:r>
        <w:t xml:space="preserve">cohorts, which reproduce plausible marginals and correlations but not the</w:t>
      </w:r>
      <w:r>
        <w:t xml:space="preserve"> </w:t>
      </w:r>
      <w:r>
        <w:t xml:space="preserve">messiness, coding drift or site-specific bias of hospital records. Results on</w:t>
      </w:r>
      <w:r>
        <w:t xml:space="preserve"> </w:t>
      </w:r>
      <w:r>
        <w:t xml:space="preserve">those four tasks characterise the method’s behaviour, not clinical</w:t>
      </w:r>
      <w:r>
        <w:t xml:space="preserve"> </w:t>
      </w:r>
      <w:r>
        <w:t xml:space="preserve">performance.</w:t>
      </w:r>
    </w:p>
    <w:p>
      <w:pPr>
        <w:pStyle w:val="BodyText"/>
      </w:pPr>
      <w:r>
        <w:rPr>
          <w:i/>
        </w:rPr>
        <w:t xml:space="preserve">Dataset scale.</w:t>
      </w:r>
      <w:r>
        <w:t xml:space="preserve"> </w:t>
      </w:r>
      <w:r>
        <w:t xml:space="preserve">Cohorts of 569–2500 records split across six clients</w:t>
      </w:r>
      <w:r>
        <w:t xml:space="preserve"> </w:t>
      </w:r>
      <w:r>
        <w:t xml:space="preserve">leave some shards small, which inflates seed-to-seed variance; several</w:t>
      </w:r>
      <w:r>
        <w:t xml:space="preserve"> </w:t>
      </w:r>
      <w:r>
        <w:t xml:space="preserve">reported standard deviations are large relative to the differences discussed.</w:t>
      </w:r>
    </w:p>
    <w:p>
      <w:pPr>
        <w:pStyle w:val="BodyText"/>
      </w:pPr>
      <w:r>
        <w:rPr>
          <w:i/>
        </w:rPr>
        <w:t xml:space="preserve">Attack scope.</w:t>
      </w:r>
      <w:r>
        <w:t xml:space="preserve"> </w:t>
      </w:r>
      <w:r>
        <w:t xml:space="preserve">Three attack types are evaluated. Adaptive adversaries</w:t>
      </w:r>
      <w:r>
        <w:t xml:space="preserve"> </w:t>
      </w:r>
      <w:r>
        <w:t xml:space="preserve">that optimise against the trust rule itself—for example, by matching the</w:t>
      </w:r>
      <w:r>
        <w:t xml:space="preserve"> </w:t>
      </w:r>
      <w:r>
        <w:t xml:space="preserve">cohort attribution signature while poisoning slowly—are not evaluated, and</w:t>
      </w:r>
      <w:r>
        <w:t xml:space="preserve"> </w:t>
      </w:r>
      <w:r>
        <w:t xml:space="preserve">[9] shows such attacks are practical against robust aggregators.</w:t>
      </w:r>
    </w:p>
    <w:p>
      <w:pPr>
        <w:pStyle w:val="BodyText"/>
      </w:pPr>
      <w:r>
        <w:rPr>
          <w:i/>
        </w:rPr>
        <w:t xml:space="preserve">Explanation fidelity.</w:t>
      </w:r>
      <w:r>
        <w:t xml:space="preserve"> </w:t>
      </w:r>
      <w:r>
        <w:t xml:space="preserve">Exact SHAP values are available only because</w:t>
      </w:r>
      <w:r>
        <w:t xml:space="preserve"> </w:t>
      </w:r>
      <w:r>
        <w:t xml:space="preserve">the model is linear. The signature in (</w:t>
      </w:r>
      <w:hyperlink w:anchor="eq:signature">
        <w:r>
          <w:rPr>
            <w:rStyle w:val="Hyperlink"/>
          </w:rPr>
          <w:t xml:space="preserve">[eq:signature]</w:t>
        </w:r>
      </w:hyperlink>
      <w:r>
        <w:t xml:space="preserve">) summarises a model</w:t>
      </w:r>
      <w:r>
        <w:t xml:space="preserve"> </w:t>
      </w:r>
      <w:r>
        <w:t xml:space="preserve">by its weight profile on a reference set, so two models with different</w:t>
      </w:r>
      <w:r>
        <w:t xml:space="preserve"> </w:t>
      </w:r>
      <w:r>
        <w:t xml:space="preserve">behaviour but similar weight direction would be scored alike. SHAP values</w:t>
      </w:r>
      <w:r>
        <w:t xml:space="preserve"> </w:t>
      </w:r>
      <w:r>
        <w:t xml:space="preserve">also describe association within the model, not causation.</w:t>
      </w:r>
    </w:p>
    <w:p>
      <w:pPr>
        <w:pStyle w:val="BodyText"/>
      </w:pPr>
      <w:r>
        <w:rPr>
          <w:i/>
        </w:rPr>
        <w:t xml:space="preserve">No clinical validation.</w:t>
      </w:r>
      <w:r>
        <w:t xml:space="preserve"> </w:t>
      </w:r>
      <w:r>
        <w:t xml:space="preserve">The system has not been evaluated</w:t>
      </w:r>
      <w:r>
        <w:t xml:space="preserve"> </w:t>
      </w:r>
      <w:r>
        <w:t xml:space="preserve">prospectively, on real patient cohorts, or in any care setting; no clinical</w:t>
      </w:r>
      <w:r>
        <w:t xml:space="preserve"> </w:t>
      </w:r>
      <w:r>
        <w:t xml:space="preserve">utility, safety or equity claim is made. Its outputs are risk estimates from</w:t>
      </w:r>
      <w:r>
        <w:t xml:space="preserve"> </w:t>
      </w:r>
      <w:r>
        <w:t xml:space="preserve">a research prototype and must not be used for diagnosis or treatment</w:t>
      </w:r>
      <w:r>
        <w:t xml:space="preserve"> </w:t>
      </w:r>
      <w:r>
        <w:t xml:space="preserve">decisions.</w:t>
      </w:r>
    </w:p>
    <w:p>
      <w:pPr>
        <w:pStyle w:val="BodyText"/>
      </w:pPr>
      <w:r>
        <w:rPr>
          <w:i/>
        </w:rPr>
        <w:t xml:space="preserve">Environment sensitivity.</w:t>
      </w:r>
      <w:r>
        <w:t xml:space="preserve"> </w:t>
      </w:r>
      <w:r>
        <w:t xml:space="preserve">Absolute values depend on the numerical</w:t>
      </w:r>
      <w:r>
        <w:t xml:space="preserve"> </w:t>
      </w:r>
      <w:r>
        <w:t xml:space="preserve">environment: the split implementation and metric library affect partitioning</w:t>
      </w:r>
      <w:r>
        <w:t xml:space="preserve"> </w:t>
      </w:r>
      <w:r>
        <w:t xml:space="preserve">and hence results. All figures reported here come from a single consistent</w:t>
      </w:r>
      <w:r>
        <w:t xml:space="preserve"> </w:t>
      </w:r>
      <w:r>
        <w:t xml:space="preserve">environment and configuration.</w:t>
      </w:r>
    </w:p>
    <w:p>
      <w:pPr>
        <w:pStyle w:val="Heading1"/>
        <w:jc w:val="center"/>
      </w:pPr>
      <w:bookmarkStart w:id="75" w:name="conclusion-and-future-work"/>
      <w:r>
        <w:rPr>
          <w:rFonts w:ascii="Times New Roman" w:hAnsi="Times New Roman"/>
          <w:b w:val="0"/>
          <w:sz w:val="20"/>
        </w:rPr>
        <w:t>VIII.  CONCLUSION AND FUTURE WORK</w:t>
      </w:r>
      <w:bookmarkEnd w:id="75"/>
    </w:p>
    <w:p>
      <w:pPr>
        <w:pStyle w:val="FirstParagraph"/>
      </w:pPr>
      <w:r>
        <w:t xml:space="preserve">This paper presented TA-EFL, a federated learning framework in which</w:t>
      </w:r>
      <w:r>
        <w:t xml:space="preserve"> </w:t>
      </w:r>
      <w:r>
        <w:t xml:space="preserve">explanation consistency is used as a trust signal rather than only as an</w:t>
      </w:r>
      <w:r>
        <w:t xml:space="preserve"> </w:t>
      </w:r>
      <w:r>
        <w:t xml:space="preserve">output. By recomputing an extrapolated attribution signature server-side from</w:t>
      </w:r>
      <w:r>
        <w:t xml:space="preserve"> </w:t>
      </w:r>
      <w:r>
        <w:t xml:space="preserve">each submitted parameter vector, the method detects clients whose models</w:t>
      </w:r>
      <w:r>
        <w:t xml:space="preserve"> </w:t>
      </w:r>
      <w:r>
        <w:t xml:space="preserve">attribute risk in the wrong direction without requiring clients to report</w:t>
      </w:r>
      <w:r>
        <w:t xml:space="preserve"> </w:t>
      </w:r>
      <w:r>
        <w:t xml:space="preserve">anything beyond parameters. Across six experiments, trust-weighted</w:t>
      </w:r>
      <w:r>
        <w:t xml:space="preserve"> </w:t>
      </w:r>
      <w:r>
        <w:t xml:space="preserve">aggregation preserved AUC under attack where FedAvg degraded, extrapolation</w:t>
      </w:r>
      <w:r>
        <w:t xml:space="preserve"> </w:t>
      </w:r>
      <w:r>
        <w:t xml:space="preserve">at</w:t>
      </w:r>
      <w:r>
        <w:t xml:space="preserve"> </w:t>
      </w:r>
      <m:oMath>
        <m:r>
          <m:t>κ</m:t>
        </m:r>
        <m:r>
          <m:t>=</m:t>
        </m:r>
        <m:r>
          <m:t>4</m:t>
        </m:r>
      </m:oMath>
      <w:r>
        <w:t xml:space="preserve"> </w:t>
      </w:r>
      <w:r>
        <w:t xml:space="preserve">produced the strongest honest/attacker separation, and no</w:t>
      </w:r>
      <w:r>
        <w:t xml:space="preserve"> </w:t>
      </w:r>
      <w:r>
        <w:t xml:space="preserve">honest client was excluded under the heterogeneity levels tested. A</w:t>
      </w:r>
      <w:r>
        <w:t xml:space="preserve"> </w:t>
      </w:r>
      <w:r>
        <w:t xml:space="preserve">sensitivity sweep led to</w:t>
      </w:r>
      <w:r>
        <w:t xml:space="preserve"> </w:t>
      </w:r>
      <m:oMath>
        <m:r>
          <m:t>α</m:t>
        </m:r>
        <m:r>
          <m:t>=</m:t>
        </m:r>
        <m:r>
          <m:t>0</m:t>
        </m:r>
      </m:oMath>
      <w:r>
        <w:t xml:space="preserve"> </w:t>
      </w:r>
      <w:r>
        <w:t xml:space="preserve">for this configuration, selected on</w:t>
      </w:r>
      <w:r>
        <w:t xml:space="preserve"> </w:t>
      </w:r>
      <w:r>
        <w:t xml:space="preserve">separation rather than on accuracy, and reported as configuration-specific</w:t>
      </w:r>
      <w:r>
        <w:t xml:space="preserve"> </w:t>
      </w:r>
      <w:r>
        <w:t xml:space="preserve">rather than universal.</w:t>
      </w:r>
    </w:p>
    <w:p>
      <w:pPr>
        <w:pStyle w:val="BodyText"/>
      </w:pPr>
      <w:r>
        <w:t xml:space="preserve">Future work follows directly from the limitations. The most important step is</w:t>
      </w:r>
      <w:r>
        <w:t xml:space="preserve"> </w:t>
      </w:r>
      <w:r>
        <w:t xml:space="preserve">evaluation on real multi-institutional data with a clinical partner. Beyond</w:t>
      </w:r>
      <w:r>
        <w:t xml:space="preserve"> </w:t>
      </w:r>
      <w:r>
        <w:t xml:space="preserve">that: adaptive attacks that target the attribution signature itself; non-linear</w:t>
      </w:r>
      <w:r>
        <w:t xml:space="preserve"> </w:t>
      </w:r>
      <w:r>
        <w:t xml:space="preserve">models, where exact SHAP is unavailable and approximate attributions would</w:t>
      </w:r>
      <w:r>
        <w:t xml:space="preserve"> </w:t>
      </w:r>
      <w:r>
        <w:t xml:space="preserve">introduce their own error; formal privacy guarantees for the reference set and</w:t>
      </w:r>
      <w:r>
        <w:t xml:space="preserve"> </w:t>
      </w:r>
      <w:r>
        <w:t xml:space="preserve">the signatures, given known gradient-leakage risks [23];</w:t>
      </w:r>
      <w:r>
        <w:t xml:space="preserve"> </w:t>
      </w:r>
      <w:r>
        <w:t xml:space="preserve">re-measurement of E4 under the final configuration; and calibration analysis,</w:t>
      </w:r>
      <w:r>
        <w:t xml:space="preserve"> </w:t>
      </w:r>
      <w:r>
        <w:t xml:space="preserve">since a risk score intended to inform clinicians must be well calibrated and</w:t>
      </w:r>
      <w:r>
        <w:t xml:space="preserve"> </w:t>
      </w:r>
      <w:r>
        <w:t xml:space="preserve">not merely well ranked.</w:t>
      </w:r>
    </w:p>
    <w:p>
      <w:pPr>
        <w:pStyle w:val="Heading1"/>
        <w:jc w:val="center"/>
      </w:pPr>
      <w:bookmarkStart w:id="76" w:name="reproducibility"/>
      <w:r>
        <w:rPr>
          <w:rFonts w:ascii="Times New Roman" w:hAnsi="Times New Roman"/>
          <w:b w:val="0"/>
          <w:sz w:val="20"/>
        </w:rPr>
        <w:t>IX.  REPRODUCIBILITY</w:t>
      </w:r>
      <w:bookmarkEnd w:id="76"/>
    </w:p>
    <w:p>
      <w:pPr>
        <w:pStyle w:val="FirstParagraph"/>
      </w:pPr>
      <w:r>
        <w:t xml:space="preserve">All experiments are reproducible from the accompanying repository with fixed</w:t>
      </w:r>
      <w:r>
        <w:t xml:space="preserve"> </w:t>
      </w:r>
      <w:r>
        <w:t xml:space="preserve">seeds</w:t>
      </w:r>
      <w:r>
        <w:t xml:space="preserve"> </w:t>
      </w:r>
      <m:oMath>
        <m:r>
          <m:t>{</m:t>
        </m:r>
        <m:r>
          <m:t>42</m:t>
        </m:r>
        <m:r>
          <m:t>,</m:t>
        </m:r>
        <m:r>
          <m:t>43</m:t>
        </m:r>
        <m:r>
          <m:t>,</m:t>
        </m:r>
        <m:r>
          <m:t>44</m:t>
        </m:r>
        <m:r>
          <m:t>}</m:t>
        </m:r>
      </m:oMath>
      <w:r>
        <w:t xml:space="preserve">. Experiments E1, E3 and E5 in the final configuration</w:t>
      </w:r>
      <w:r>
        <w:t xml:space="preserve"> </w:t>
      </w:r>
      <w:r>
        <w:t xml:space="preserve">are produced by</w:t>
      </w:r>
      <w:r>
        <w:t xml:space="preserve"> </w:t>
      </w:r>
      <w:r>
        <w:rPr>
          <w:rStyle w:val="VerbatimChar"/>
        </w:rPr>
        <w:t xml:space="preserve">run_study.py –only e1,e3,e5 –label final_alpha0</w:t>
      </w:r>
      <w:r>
        <w:t xml:space="preserve">;</w:t>
      </w:r>
      <w:r>
        <w:t xml:space="preserve"> </w:t>
      </w:r>
      <w:r>
        <w:t xml:space="preserve">E2 and E4 by</w:t>
      </w:r>
      <w:r>
        <w:t xml:space="preserve"> </w:t>
      </w:r>
      <w:r>
        <w:rPr>
          <w:rStyle w:val="VerbatimChar"/>
        </w:rPr>
        <w:t xml:space="preserve">run_study.py</w:t>
      </w:r>
      <w:r>
        <w:t xml:space="preserve">; E6 by</w:t>
      </w:r>
      <w:r>
        <w:t xml:space="preserve"> </w:t>
      </w:r>
      <w:r>
        <w:rPr>
          <w:rStyle w:val="VerbatimChar"/>
        </w:rPr>
        <w:t xml:space="preserve">run_study.py –only e6</w:t>
      </w:r>
      <w:r>
        <w:t xml:space="preserve">. Per-seed values are stored as CSV files</w:t>
      </w:r>
      <w:r>
        <w:t xml:space="preserve"> </w:t>
      </w:r>
      <w:r>
        <w:t xml:space="preserve">alongside the figures reproduced in this paper.</w:t>
      </w:r>
    </w:p>
    <w:p>
      <w:pPr>
        <w:pStyle w:val="Heading1"/>
        <w:jc w:val="center"/>
      </w:pPr>
      <w:bookmarkStart w:id="77" w:name="references"/>
      <w:r>
        <w:rPr>
          <w:rFonts w:ascii="Times New Roman" w:hAnsi="Times New Roman"/>
          <w:b w:val="0"/>
          <w:sz w:val="20"/>
        </w:rPr>
        <w:t>REFERENCES</w:t>
      </w:r>
      <w:bookmarkEnd w:id="77"/>
    </w:p>
    <w:p>
      <w:pPr>
        <w:numPr>
          <w:ilvl w:val="0"/>
          <w:numId w:val="1003"/>
        </w:numPr>
      </w:pPr>
      <w:r>
        <w:t xml:space="preserve">H. B. McMahan, E. Moore, D. Ramage, S. Hampson, and B. Ag</w:t>
      </w:r>
      <w:r>
        <w:t xml:space="preserve">ü</w:t>
      </w:r>
      <w:r>
        <w:t xml:space="preserve">era y Arcas,</w:t>
      </w:r>
      <w:r>
        <w:t xml:space="preserve"> </w:t>
      </w:r>
      <w:r>
        <w:t xml:space="preserve">“</w:t>
      </w:r>
      <w:r>
        <w:t xml:space="preserve">Communication-efficient learning of deep networks from decentralized data,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20th Int. Conf. Artificial Intelligence and Statistics (AISTATS)</w:t>
      </w:r>
      <w:r>
        <w:t xml:space="preserve">, pp. 1273–1282, 2017.</w:t>
      </w:r>
    </w:p>
    <w:p>
      <w:pPr>
        <w:numPr>
          <w:ilvl w:val="0"/>
          <w:numId w:val="1003"/>
        </w:numPr>
      </w:pPr>
      <w:r>
        <w:t xml:space="preserve">J. Kone</w:t>
      </w:r>
      <w:r>
        <w:t xml:space="preserve">č</w:t>
      </w:r>
      <w:r>
        <w:t xml:space="preserve">n</w:t>
      </w:r>
      <w:r>
        <w:t xml:space="preserve">ý</w:t>
      </w:r>
      <w:r>
        <w:t xml:space="preserve">, H. B. McMahan, F. X. Yu, P. Richt</w:t>
      </w:r>
      <w:r>
        <w:t xml:space="preserve">á</w:t>
      </w:r>
      <w:r>
        <w:t xml:space="preserve">rik, A. T. Suresh, and D. Bacon,</w:t>
      </w:r>
      <w:r>
        <w:t xml:space="preserve"> </w:t>
      </w:r>
      <w:r>
        <w:t xml:space="preserve">“</w:t>
      </w:r>
      <w:r>
        <w:t xml:space="preserve">Federated learning: Strategies for improving communication efficiency,</w:t>
      </w:r>
      <w:r>
        <w:t xml:space="preserve">”</w:t>
      </w:r>
      <w:r>
        <w:t xml:space="preserve"> </w:t>
      </w:r>
      <w:r>
        <w:rPr>
          <w:i/>
        </w:rPr>
        <w:t xml:space="preserve">arXiv preprint arXiv:1610.05492</w:t>
      </w:r>
      <w:r>
        <w:t xml:space="preserve">, 2016.</w:t>
      </w:r>
    </w:p>
    <w:p>
      <w:pPr>
        <w:numPr>
          <w:ilvl w:val="0"/>
          <w:numId w:val="1003"/>
        </w:numPr>
      </w:pPr>
      <w:r>
        <w:t xml:space="preserve">N. Rieke, J. Hancox, W. Li,</w:t>
      </w:r>
      <w:r>
        <w:t xml:space="preserve"> </w:t>
      </w:r>
      <w:r>
        <w:rPr>
          <w:i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The future of digital health with federated learning,</w:t>
      </w:r>
      <w:r>
        <w:t xml:space="preserve">”</w:t>
      </w:r>
      <w:r>
        <w:t xml:space="preserve"> </w:t>
      </w:r>
      <w:r>
        <w:rPr>
          <w:i/>
        </w:rPr>
        <w:t xml:space="preserve">npj Digital Medicine</w:t>
      </w:r>
      <w:r>
        <w:t xml:space="preserve">, vol. 3, no. 119, 2020.</w:t>
      </w:r>
    </w:p>
    <w:p>
      <w:pPr>
        <w:numPr>
          <w:ilvl w:val="0"/>
          <w:numId w:val="1003"/>
        </w:numPr>
      </w:pPr>
      <w:r>
        <w:t xml:space="preserve">M. J. Sheller, B. Edwards, G. A. Reina,</w:t>
      </w:r>
      <w:r>
        <w:t xml:space="preserve"> </w:t>
      </w:r>
      <w:r>
        <w:rPr>
          <w:i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Federated learning in medicine: Facilitating multi-institutional collaborations without sharing patient data,</w:t>
      </w:r>
      <w:r>
        <w:t xml:space="preserve">”</w:t>
      </w:r>
      <w:r>
        <w:t xml:space="preserve"> </w:t>
      </w:r>
      <w:r>
        <w:rPr>
          <w:i/>
        </w:rPr>
        <w:t xml:space="preserve">Scientific Reports</w:t>
      </w:r>
      <w:r>
        <w:t xml:space="preserve">, vol. 10, no. 12598, 2020.</w:t>
      </w:r>
    </w:p>
    <w:p>
      <w:pPr>
        <w:numPr>
          <w:ilvl w:val="0"/>
          <w:numId w:val="1003"/>
        </w:numPr>
      </w:pPr>
      <w:r>
        <w:t xml:space="preserve">I. Dayan, H. R. Roth, A. Zhong,</w:t>
      </w:r>
      <w:r>
        <w:t xml:space="preserve"> </w:t>
      </w:r>
      <w:r>
        <w:rPr>
          <w:i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Federated learning for predicting clinical outcomes in patients with</w:t>
      </w:r>
      <w:r>
        <w:t xml:space="preserve"> </w:t>
      </w:r>
      <w:r>
        <w:t xml:space="preserve">COVID-19</w:t>
      </w:r>
      <w:r>
        <w:t xml:space="preserve">,</w:t>
      </w:r>
      <w:r>
        <w:t xml:space="preserve">”</w:t>
      </w:r>
      <w:r>
        <w:t xml:space="preserve"> </w:t>
      </w:r>
      <w:r>
        <w:rPr>
          <w:i/>
        </w:rPr>
        <w:t xml:space="preserve">Nature Medicine</w:t>
      </w:r>
      <w:r>
        <w:t xml:space="preserve">, vol. 27, pp. 1735–1743, 2021.</w:t>
      </w:r>
    </w:p>
    <w:p>
      <w:pPr>
        <w:numPr>
          <w:ilvl w:val="0"/>
          <w:numId w:val="1003"/>
        </w:numPr>
      </w:pPr>
      <w:r>
        <w:t xml:space="preserve">Z. L. Teo, L. Jin, N. Liu, S. Li, D. Miao, X. Zhang, W. Y. Ng, T. F. Tan, D. M. Lee, K. J. Chua, J. Heng, Y. Liu, R. S. M. Goh, and D. S. W. Ting,</w:t>
      </w:r>
      <w:r>
        <w:t xml:space="preserve"> </w:t>
      </w:r>
      <w:r>
        <w:t xml:space="preserve">“</w:t>
      </w:r>
      <w:r>
        <w:t xml:space="preserve">Federated machine learning in healthcare: A systematic review on clinical applications and technical architecture,</w:t>
      </w:r>
      <w:r>
        <w:t xml:space="preserve">”</w:t>
      </w:r>
      <w:r>
        <w:t xml:space="preserve"> </w:t>
      </w:r>
      <w:r>
        <w:rPr>
          <w:i/>
        </w:rPr>
        <w:t xml:space="preserve">Cell Reports Medicine</w:t>
      </w:r>
      <w:r>
        <w:t xml:space="preserve">, vol. 5, no. 2, 2024.</w:t>
      </w:r>
    </w:p>
    <w:p>
      <w:pPr>
        <w:numPr>
          <w:ilvl w:val="0"/>
          <w:numId w:val="1003"/>
        </w:numPr>
      </w:pPr>
      <w:r>
        <w:t xml:space="preserve">A. N. Bhagoji, S. Chakraborty, P. Mittal, and S. Calo,</w:t>
      </w:r>
      <w:r>
        <w:t xml:space="preserve"> </w:t>
      </w:r>
      <w:r>
        <w:t xml:space="preserve">“</w:t>
      </w:r>
      <w:r>
        <w:t xml:space="preserve">Analyzing federated learning through an adversarial lens,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36th Int. Conf. Machine Learning (ICML)</w:t>
      </w:r>
      <w:r>
        <w:t xml:space="preserve">, 2019.</w:t>
      </w:r>
    </w:p>
    <w:p>
      <w:pPr>
        <w:numPr>
          <w:ilvl w:val="0"/>
          <w:numId w:val="1003"/>
        </w:numPr>
      </w:pPr>
      <w:r>
        <w:t xml:space="preserve">E. Bagdasaryan, A. Veit, Y. Hua, D. Estrin, and V. Shmatikov,</w:t>
      </w:r>
      <w:r>
        <w:t xml:space="preserve"> </w:t>
      </w:r>
      <w:r>
        <w:t xml:space="preserve">“</w:t>
      </w:r>
      <w:r>
        <w:t xml:space="preserve">How to backdoor federated learning,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23rd Int. Conf. Artificial Intelligence and Statistics (AISTATS)</w:t>
      </w:r>
      <w:r>
        <w:t xml:space="preserve">, 2020.</w:t>
      </w:r>
    </w:p>
    <w:p>
      <w:pPr>
        <w:numPr>
          <w:ilvl w:val="0"/>
          <w:numId w:val="1003"/>
        </w:numPr>
      </w:pPr>
      <w:r>
        <w:t xml:space="preserve">M. Fang, X. Cao, J. Jia, and N. Z. Gong,</w:t>
      </w:r>
      <w:r>
        <w:t xml:space="preserve"> </w:t>
      </w:r>
      <w:r>
        <w:t xml:space="preserve">“</w:t>
      </w:r>
      <w:r>
        <w:t xml:space="preserve">Local model poisoning attacks to</w:t>
      </w:r>
      <w:r>
        <w:t xml:space="preserve"> </w:t>
      </w:r>
      <w:r>
        <w:t xml:space="preserve">B</w:t>
      </w:r>
      <w:r>
        <w:t xml:space="preserve">yzantine-robust federated learning,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29th USENIX Security Symposium</w:t>
      </w:r>
      <w:r>
        <w:t xml:space="preserve">, 2020.</w:t>
      </w:r>
    </w:p>
    <w:p>
      <w:pPr>
        <w:numPr>
          <w:ilvl w:val="0"/>
          <w:numId w:val="1003"/>
        </w:numPr>
      </w:pPr>
      <w:r>
        <w:t xml:space="preserve">S. Sagar, C.-S. Li, S. W. Loke, and J. Choi,</w:t>
      </w:r>
      <w:r>
        <w:t xml:space="preserve"> </w:t>
      </w:r>
      <w:r>
        <w:t xml:space="preserve">“</w:t>
      </w:r>
      <w:r>
        <w:t xml:space="preserve">Poisoning attacks and defenses in federated learning: A survey,</w:t>
      </w:r>
      <w:r>
        <w:t xml:space="preserve">”</w:t>
      </w:r>
      <w:r>
        <w:t xml:space="preserve"> </w:t>
      </w:r>
      <w:r>
        <w:rPr>
          <w:i/>
        </w:rPr>
        <w:t xml:space="preserve">arXiv preprint arXiv:2301.05795</w:t>
      </w:r>
      <w:r>
        <w:t xml:space="preserve">, 2023.</w:t>
      </w:r>
    </w:p>
    <w:p>
      <w:pPr>
        <w:numPr>
          <w:ilvl w:val="0"/>
          <w:numId w:val="1003"/>
        </w:numPr>
      </w:pPr>
      <w:r>
        <w:t xml:space="preserve">P. Blanchard, E. M. El Mhamdi, R. Guerraoui, and J. Stainer,</w:t>
      </w:r>
      <w:r>
        <w:t xml:space="preserve"> </w:t>
      </w:r>
      <w:r>
        <w:t xml:space="preserve">“</w:t>
      </w:r>
      <w:r>
        <w:t xml:space="preserve">Machine learning with adversaries: Byzantine tolerant gradient descent,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Advances in Neural Information Processing Systems (NeurIPS)</w:t>
      </w:r>
      <w:r>
        <w:t xml:space="preserve">, 2017.</w:t>
      </w:r>
    </w:p>
    <w:p>
      <w:pPr>
        <w:numPr>
          <w:ilvl w:val="0"/>
          <w:numId w:val="1003"/>
        </w:numPr>
      </w:pPr>
      <w:r>
        <w:t xml:space="preserve">D. Yin, Y. Chen, K. Ramchandran, and P. Bartlett,</w:t>
      </w:r>
      <w:r>
        <w:t xml:space="preserve"> </w:t>
      </w:r>
      <w:r>
        <w:t xml:space="preserve">“</w:t>
      </w:r>
      <w:r>
        <w:t xml:space="preserve">Byzantine-robust distributed learning: Towards optimal statistical rates,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35th Int. Conf. Machine Learning (ICML)</w:t>
      </w:r>
      <w:r>
        <w:t xml:space="preserve">, 2018.</w:t>
      </w:r>
    </w:p>
    <w:p>
      <w:pPr>
        <w:numPr>
          <w:ilvl w:val="0"/>
          <w:numId w:val="1003"/>
        </w:numPr>
      </w:pPr>
      <w:r>
        <w:t xml:space="preserve">K. Hsieh, A. Phanishayee, O. Mutlu, and P. B. Gibbons,</w:t>
      </w:r>
      <w:r>
        <w:t xml:space="preserve"> </w:t>
      </w:r>
      <w:r>
        <w:t xml:space="preserve">“</w:t>
      </w:r>
      <w:r>
        <w:t xml:space="preserve">The non-</w:t>
      </w:r>
      <w:r>
        <w:t xml:space="preserve">IID</w:t>
      </w:r>
      <w:r>
        <w:t xml:space="preserve"> </w:t>
      </w:r>
      <w:r>
        <w:t xml:space="preserve">data quagmire of decentralized machine learning,</w:t>
      </w:r>
      <w:r>
        <w:t xml:space="preserve">”</w:t>
      </w:r>
      <w:r>
        <w:t xml:space="preserve"> </w:t>
      </w:r>
      <w:r>
        <w:rPr>
          <w:i/>
        </w:rPr>
        <w:t xml:space="preserve">Proc. 37th Int. Conf. Machine Learning (ICML)</w:t>
      </w:r>
      <w:r>
        <w:t xml:space="preserve">, 2020.</w:t>
      </w:r>
    </w:p>
    <w:p>
      <w:pPr>
        <w:numPr>
          <w:ilvl w:val="0"/>
          <w:numId w:val="1003"/>
        </w:numPr>
      </w:pPr>
      <w:r>
        <w:t xml:space="preserve">S. M. Lundberg and S.-I. Lee,</w:t>
      </w:r>
      <w:r>
        <w:t xml:space="preserve"> </w:t>
      </w:r>
      <w:r>
        <w:t xml:space="preserve">“</w:t>
      </w:r>
      <w:r>
        <w:t xml:space="preserve">A unified approach to interpreting model predictions,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Advances in Neural Information Processing Systems (NeurIPS)</w:t>
      </w:r>
      <w:r>
        <w:t xml:space="preserve">, 2017.</w:t>
      </w:r>
    </w:p>
    <w:p>
      <w:pPr>
        <w:numPr>
          <w:ilvl w:val="0"/>
          <w:numId w:val="1003"/>
        </w:numPr>
      </w:pPr>
      <w:r>
        <w:t xml:space="preserve">L. S. Shapley,</w:t>
      </w:r>
      <w:r>
        <w:t xml:space="preserve"> </w:t>
      </w:r>
      <w:r>
        <w:t xml:space="preserve">“</w:t>
      </w:r>
      <w:r>
        <w:t xml:space="preserve">A value for n-person games,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Contributions to the Theory of Games, Volume II</w:t>
      </w:r>
      <w:r>
        <w:t xml:space="preserve">, pp. 307–317, Princeton University Press, 1953.</w:t>
      </w:r>
    </w:p>
    <w:p>
      <w:pPr>
        <w:numPr>
          <w:ilvl w:val="0"/>
          <w:numId w:val="1003"/>
        </w:numPr>
      </w:pPr>
      <w:r>
        <w:t xml:space="preserve">A. Barredo Arrieta, N. D</w:t>
      </w:r>
      <w:r>
        <w:t xml:space="preserve">í</w:t>
      </w:r>
      <w:r>
        <w:t xml:space="preserve">az-Rodr</w:t>
      </w:r>
      <w:r>
        <w:t xml:space="preserve">í</w:t>
      </w:r>
      <w:r>
        <w:t xml:space="preserve">guez, J. Del Ser,</w:t>
      </w:r>
      <w:r>
        <w:t xml:space="preserve"> </w:t>
      </w:r>
      <w:r>
        <w:rPr>
          <w:i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Explainable artificial intelligence (</w:t>
      </w:r>
      <w:r>
        <w:t xml:space="preserve">XAI</w:t>
      </w:r>
      <w:r>
        <w:t xml:space="preserve">): Concepts, taxonomies, opportunities and challenges toward responsible</w:t>
      </w:r>
      <w:r>
        <w:t xml:space="preserve"> </w:t>
      </w:r>
      <w:r>
        <w:t xml:space="preserve">AI</w:t>
      </w:r>
      <w:r>
        <w:t xml:space="preserve">,</w:t>
      </w:r>
      <w:r>
        <w:t xml:space="preserve">”</w:t>
      </w:r>
      <w:r>
        <w:t xml:space="preserve"> </w:t>
      </w:r>
      <w:r>
        <w:rPr>
          <w:i/>
        </w:rPr>
        <w:t xml:space="preserve">Information Fusion</w:t>
      </w:r>
      <w:r>
        <w:t xml:space="preserve">, vol. 58, pp. 82–115, 2020.</w:t>
      </w:r>
    </w:p>
    <w:p>
      <w:pPr>
        <w:numPr>
          <w:ilvl w:val="0"/>
          <w:numId w:val="1003"/>
        </w:numPr>
      </w:pPr>
      <w:r>
        <w:t xml:space="preserve">F. Doshi-Velez and B. Kim,</w:t>
      </w:r>
      <w:r>
        <w:t xml:space="preserve"> </w:t>
      </w:r>
      <w:r>
        <w:t xml:space="preserve">“</w:t>
      </w:r>
      <w:r>
        <w:t xml:space="preserve">Towards a rigorous science of interpretable machine learning,</w:t>
      </w:r>
      <w:r>
        <w:t xml:space="preserve">”</w:t>
      </w:r>
      <w:r>
        <w:t xml:space="preserve"> </w:t>
      </w:r>
      <w:r>
        <w:rPr>
          <w:i/>
        </w:rPr>
        <w:t xml:space="preserve">arXiv preprint arXiv:1702.08608</w:t>
      </w:r>
      <w:r>
        <w:t xml:space="preserve">, 2017.</w:t>
      </w:r>
    </w:p>
    <w:p>
      <w:pPr>
        <w:numPr>
          <w:ilvl w:val="0"/>
          <w:numId w:val="1003"/>
        </w:numPr>
      </w:pPr>
      <w:r>
        <w:t xml:space="preserve">C. Rudin,</w:t>
      </w:r>
      <w:r>
        <w:t xml:space="preserve"> </w:t>
      </w:r>
      <w:r>
        <w:t xml:space="preserve">“</w:t>
      </w:r>
      <w:r>
        <w:t xml:space="preserve">Stop explaining black box machine learning models for high stakes decisions and use interpretable models instead,</w:t>
      </w:r>
      <w:r>
        <w:t xml:space="preserve">”</w:t>
      </w:r>
      <w:r>
        <w:t xml:space="preserve"> </w:t>
      </w:r>
      <w:r>
        <w:rPr>
          <w:i/>
        </w:rPr>
        <w:t xml:space="preserve">Nature Machine Intelligence</w:t>
      </w:r>
      <w:r>
        <w:t xml:space="preserve">, vol. 1, pp. 206–215, 2019.</w:t>
      </w:r>
    </w:p>
    <w:p>
      <w:pPr>
        <w:numPr>
          <w:ilvl w:val="0"/>
          <w:numId w:val="1003"/>
        </w:numPr>
      </w:pPr>
      <w:r>
        <w:t xml:space="preserve">D. J. Beutel, T. Topal, A. Mathur, X. Qiu, J. Fernandez-Marques, Y. Gao, L. Sani, K. H. Li, T. Parcollet, P. P. B. de Gusm</w:t>
      </w:r>
      <w:r>
        <w:t xml:space="preserve">ã</w:t>
      </w:r>
      <w:r>
        <w:t xml:space="preserve">o, and N. D. Lane,</w:t>
      </w:r>
      <w:r>
        <w:t xml:space="preserve"> </w:t>
      </w:r>
      <w:r>
        <w:t xml:space="preserve">“</w:t>
      </w:r>
      <w:r>
        <w:t xml:space="preserve">Flower: A friendly federated learning research framework,</w:t>
      </w:r>
      <w:r>
        <w:t xml:space="preserve">”</w:t>
      </w:r>
      <w:r>
        <w:t xml:space="preserve"> </w:t>
      </w:r>
      <w:r>
        <w:rPr>
          <w:i/>
        </w:rPr>
        <w:t xml:space="preserve">arXiv preprint arXiv:2007.14390</w:t>
      </w:r>
      <w:r>
        <w:t xml:space="preserve">, 2020.</w:t>
      </w:r>
    </w:p>
    <w:p>
      <w:pPr>
        <w:numPr>
          <w:ilvl w:val="0"/>
          <w:numId w:val="1003"/>
        </w:numPr>
      </w:pPr>
      <w:r>
        <w:t xml:space="preserve">P. Kairouz, H. B. McMahan,</w:t>
      </w:r>
      <w:r>
        <w:t xml:space="preserve"> </w:t>
      </w:r>
      <w:r>
        <w:rPr>
          <w:i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Advances and open problems in federated learning,</w:t>
      </w:r>
      <w:r>
        <w:t xml:space="preserve">”</w:t>
      </w:r>
      <w:r>
        <w:t xml:space="preserve"> </w:t>
      </w:r>
      <w:r>
        <w:rPr>
          <w:i/>
        </w:rPr>
        <w:t xml:space="preserve">Foundations and Trends in Machine Learning</w:t>
      </w:r>
      <w:r>
        <w:t xml:space="preserve">, vol. 14, no. 1–2, pp. 1–210, 2021.</w:t>
      </w:r>
    </w:p>
    <w:p>
      <w:pPr>
        <w:numPr>
          <w:ilvl w:val="0"/>
          <w:numId w:val="1003"/>
        </w:numPr>
      </w:pPr>
      <w:r>
        <w:t xml:space="preserve">T. Li, A. K. Sahu, A. Talwalkar, and V. Smith,</w:t>
      </w:r>
      <w:r>
        <w:t xml:space="preserve"> </w:t>
      </w:r>
      <w:r>
        <w:t xml:space="preserve">“</w:t>
      </w:r>
      <w:r>
        <w:t xml:space="preserve">Federated learning: Challenges, methods, and future directions,</w:t>
      </w:r>
      <w:r>
        <w:t xml:space="preserve">”</w:t>
      </w:r>
      <w:r>
        <w:t xml:space="preserve"> </w:t>
      </w:r>
      <w:r>
        <w:rPr>
          <w:i/>
        </w:rPr>
        <w:t xml:space="preserve">IEEE Signal Processing Magazine</w:t>
      </w:r>
      <w:r>
        <w:t xml:space="preserve">, vol. 37, no. 3, pp. 50–60, 2020.</w:t>
      </w:r>
    </w:p>
    <w:p>
      <w:pPr>
        <w:numPr>
          <w:ilvl w:val="0"/>
          <w:numId w:val="1003"/>
        </w:numPr>
      </w:pPr>
      <w:r>
        <w:t xml:space="preserve">M. T. Ribeiro, S. Singh, and C. Guestrin,</w:t>
      </w:r>
      <w:r>
        <w:t xml:space="preserve"> </w:t>
      </w:r>
      <w:r>
        <w:t xml:space="preserve">“</w:t>
      </w:r>
      <w:r>
        <w:t xml:space="preserve">"why should i trust you?": Explaining the predictions of any classifier,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22nd ACM SIGKDD Int. Conf. Knowledge Discovery and Data Mining</w:t>
      </w:r>
      <w:r>
        <w:t xml:space="preserve">, 2016.</w:t>
      </w:r>
    </w:p>
    <w:p>
      <w:pPr>
        <w:numPr>
          <w:ilvl w:val="0"/>
          <w:numId w:val="1003"/>
        </w:numPr>
      </w:pPr>
      <w:r>
        <w:t xml:space="preserve">L. Zhu, Z. Liu, and S. Han,</w:t>
      </w:r>
      <w:r>
        <w:t xml:space="preserve"> </w:t>
      </w:r>
      <w:r>
        <w:t xml:space="preserve">“</w:t>
      </w:r>
      <w:r>
        <w:t xml:space="preserve">Deep leakage from gradients,</w:t>
      </w:r>
      <w:r>
        <w:t xml:space="preserve">”</w:t>
      </w:r>
      <w:r>
        <w:t xml:space="preserve"> </w:t>
      </w:r>
      <w:r>
        <w:rPr>
          <w:i/>
        </w:rPr>
        <w:t xml:space="preserve">Advances in Neural Information Processing Systems (NeurIPS)</w:t>
      </w:r>
      <w:r>
        <w:t xml:space="preserve">, 2019.</w:t>
      </w:r>
    </w:p>
    <w:p>
      <w:pPr>
        <w:numPr>
          <w:ilvl w:val="0"/>
          <w:numId w:val="1003"/>
        </w:numPr>
      </w:pPr>
      <w:r>
        <w:t xml:space="preserve">L. M. Lopez-Ramos, F. Leiser, A. Rastogi, S. Hicks, I. Str</w:t>
      </w:r>
      <w:r>
        <w:t xml:space="preserve">ü</w:t>
      </w:r>
      <w:r>
        <w:t xml:space="preserve">mke, V. I. Madai, T. Budig, A. Sunyaev, and A. Hilbert,</w:t>
      </w:r>
      <w:r>
        <w:t xml:space="preserve"> </w:t>
      </w:r>
      <w:r>
        <w:t xml:space="preserve">“</w:t>
      </w:r>
      <w:r>
        <w:t xml:space="preserve">Interplay between federated learning and explainable artificial intelligence: A scoping review,</w:t>
      </w:r>
      <w:r>
        <w:t xml:space="preserve">”</w:t>
      </w:r>
      <w:r>
        <w:t xml:space="preserve"> </w:t>
      </w:r>
      <w:r>
        <w:rPr>
          <w:i/>
        </w:rPr>
        <w:t xml:space="preserve">arXiv preprint arXiv:2411.05874</w:t>
      </w:r>
      <w:r>
        <w:t xml:space="preserve">, 2024.</w:t>
      </w:r>
    </w:p>
    <w:p>
      <w:pPr>
        <w:numPr>
          <w:ilvl w:val="0"/>
          <w:numId w:val="1003"/>
        </w:numPr>
      </w:pPr>
      <w:r>
        <w:t xml:space="preserve">F. Pedregosa, G. Varoquaux, A. Gramfort,</w:t>
      </w:r>
      <w:r>
        <w:t xml:space="preserve"> </w:t>
      </w:r>
      <w:r>
        <w:rPr>
          <w:i/>
        </w:rPr>
        <w:t xml:space="preserve">et al.</w:t>
      </w:r>
      <w:r>
        <w:t xml:space="preserve">,</w:t>
      </w:r>
      <w:r>
        <w:t xml:space="preserve"> </w:t>
      </w:r>
      <w:r>
        <w:t xml:space="preserve">“</w:t>
      </w:r>
      <w:r>
        <w:t xml:space="preserve">Scikit-learn: Machine learning in</w:t>
      </w:r>
      <w:r>
        <w:t xml:space="preserve"> </w:t>
      </w:r>
      <w:r>
        <w:t xml:space="preserve">P</w:t>
      </w:r>
      <w:r>
        <w:t xml:space="preserve">ython,</w:t>
      </w:r>
      <w:r>
        <w:t xml:space="preserve">”</w:t>
      </w:r>
      <w:r>
        <w:t xml:space="preserve"> </w:t>
      </w:r>
      <w:r>
        <w:rPr>
          <w:i/>
        </w:rPr>
        <w:t xml:space="preserve">Journal of Machine Learning Research</w:t>
      </w:r>
      <w:r>
        <w:t xml:space="preserve">, vol. 12, pp. 2825–2830, 2011.</w:t>
      </w:r>
    </w:p>
    <w:p>
      <w:pPr>
        <w:numPr>
          <w:ilvl w:val="0"/>
          <w:numId w:val="1003"/>
        </w:numPr>
      </w:pPr>
      <w:r>
        <w:t xml:space="preserve">W. N. Street, W. H. Wolberg, and O. L. Mangasarian,</w:t>
      </w:r>
      <w:r>
        <w:t xml:space="preserve"> </w:t>
      </w:r>
      <w:r>
        <w:t xml:space="preserve">“</w:t>
      </w:r>
      <w:r>
        <w:t xml:space="preserve">Nuclear feature extraction for breast tumor diagnosis,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SPIE 1905, Biomedical Image Processing and Biomedical Visualization</w:t>
      </w:r>
      <w:r>
        <w:t xml:space="preserve">, pp. 861–870, 1993.</w:t>
      </w:r>
    </w:p>
    <w:p>
      <w:pPr>
        <w:numPr>
          <w:ilvl w:val="0"/>
          <w:numId w:val="1003"/>
        </w:numPr>
      </w:pPr>
      <w:r>
        <w:t xml:space="preserve">R. Detrano, A. Janosi, W. Steinbrunn, M. Pfisterer, J.-J. Schmid, S. Sandhu, K. H. Guppy, S. Lee, and V. Froelicher,</w:t>
      </w:r>
      <w:r>
        <w:t xml:space="preserve"> </w:t>
      </w:r>
      <w:r>
        <w:t xml:space="preserve">“</w:t>
      </w:r>
      <w:r>
        <w:t xml:space="preserve">International application of a new probability algorithm for the diagnosis of coronary artery disease,</w:t>
      </w:r>
      <w:r>
        <w:t xml:space="preserve">”</w:t>
      </w:r>
      <w:r>
        <w:t xml:space="preserve"> </w:t>
      </w:r>
      <w:r>
        <w:rPr>
          <w:i/>
        </w:rPr>
        <w:t xml:space="preserve">The American Journal of Cardiology</w:t>
      </w:r>
      <w:r>
        <w:t xml:space="preserve">, vol. 64, no. 5, pp. 304–310, 1989.</w:t>
      </w:r>
    </w:p>
    <w:p>
      <w:pPr>
        <w:numPr>
          <w:ilvl w:val="0"/>
          <w:numId w:val="1003"/>
        </w:numPr>
      </w:pPr>
      <w:r>
        <w:t xml:space="preserve">J. W. Smith, J. E. Everhart, W. C. Dickson, W. C. Knowler, and R. S. Johannes,</w:t>
      </w:r>
      <w:r>
        <w:t xml:space="preserve"> </w:t>
      </w:r>
      <w:r>
        <w:t xml:space="preserve">“</w:t>
      </w:r>
      <w:r>
        <w:t xml:space="preserve">Using the</w:t>
      </w:r>
      <w:r>
        <w:t xml:space="preserve"> </w:t>
      </w:r>
      <w:r>
        <w:t xml:space="preserve">ADAP</w:t>
      </w:r>
      <w:r>
        <w:t xml:space="preserve"> </w:t>
      </w:r>
      <w:r>
        <w:t xml:space="preserve">learning algorithm to forecast the onset of diabetes mellitus,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/>
        </w:rPr>
        <w:t xml:space="preserve">Proc. Annual Symposium on Computer Application in Medical Care</w:t>
      </w:r>
      <w:r>
        <w:t xml:space="preserve">, pp. 261–265, 1988.</w:t>
      </w:r>
    </w:p>
    <w:p>
      <w:pPr>
        <w:numPr>
          <w:ilvl w:val="0"/>
          <w:numId w:val="1003"/>
        </w:numPr>
      </w:pPr>
      <w:r>
        <w:t xml:space="preserve">T. R. Dawber, G. F. Meadors, and F. E. Moore,</w:t>
      </w:r>
      <w:r>
        <w:t xml:space="preserve"> </w:t>
      </w:r>
      <w:r>
        <w:t xml:space="preserve">“</w:t>
      </w:r>
      <w:r>
        <w:t xml:space="preserve">Epidemiological approaches to heart disease: The</w:t>
      </w:r>
      <w:r>
        <w:t xml:space="preserve"> </w:t>
      </w:r>
      <w:r>
        <w:t xml:space="preserve">F</w:t>
      </w:r>
      <w:r>
        <w:t xml:space="preserve">ramingham study,</w:t>
      </w:r>
      <w:r>
        <w:t xml:space="preserve">”</w:t>
      </w:r>
      <w:r>
        <w:t xml:space="preserve"> </w:t>
      </w:r>
      <w:r>
        <w:rPr>
          <w:i/>
        </w:rPr>
        <w:t xml:space="preserve">American Journal of Public Health</w:t>
      </w:r>
      <w:r>
        <w:t xml:space="preserve">, vol. 41, no. 3, pp. 279–286, 1951.</w:t>
      </w:r>
    </w:p>
    <w:p>
      <w:pPr>
        <w:numPr>
          <w:ilvl w:val="0"/>
          <w:numId w:val="1003"/>
        </w:numPr>
      </w:pPr>
      <w:r>
        <w:t xml:space="preserve">D. Dua and C. Graff,</w:t>
      </w:r>
      <w:r>
        <w:t xml:space="preserve"> </w:t>
      </w:r>
      <w:r>
        <w:t xml:space="preserve">“</w:t>
      </w:r>
      <w:r>
        <w:t xml:space="preserve">UCI</w:t>
      </w:r>
      <w:r>
        <w:t xml:space="preserve"> </w:t>
      </w:r>
      <w:r>
        <w:t xml:space="preserve">machine learning repository,</w:t>
      </w:r>
      <w:r>
        <w:t xml:space="preserve">”</w:t>
      </w:r>
      <w:r>
        <w:t xml:space="preserve"> </w:t>
      </w:r>
      <w:r>
        <w:rPr>
          <w:i/>
        </w:rPr>
        <w:t xml:space="preserve">University of California, Irvine, School of Information and Computer Sciences</w:t>
      </w:r>
      <w:r>
        <w:t xml:space="preserve">, 2019.</w:t>
      </w:r>
      <w:r>
        <w:t xml:space="preserve"> </w:t>
      </w:r>
      <w:hyperlink r:id="rId78">
        <w:r>
          <w:rPr>
            <w:rStyle w:val="Hyperlink"/>
          </w:rPr>
          <w:t xml:space="preserve">http://archive.ics.uci.edu/ml</w:t>
        </w:r>
      </w:hyperlink>
      <w:r>
        <w:t xml:space="preserve">.</w:t>
      </w:r>
    </w:p>
    <w:sectPr>
      <w:pgSz w:w="12240" w:h="15840"/>
      <w:pgMar w:top="1080" w:bottom="1440" w:left="900" w:right="900"/>
      <w:cols w:num="2" w:space="180" w:equalWidth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40"/>
      <w:ind w:firstLine="202"/>
      <w:jc w:val="both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styleId="BodyText">
    <w:name w:val="Body Text"/>
    <w:basedOn w:val="Normal"/>
    <w:link w:val="BodyTextChar"/>
    <w:pPr>
      <w:spacing w:before="180" w:after="40"/>
      <w:ind w:firstLine="202"/>
    </w:pPr>
    <w:qFormat/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40"/>
      <w:ind w:firstLine="0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40"/>
      <w:ind w:firstLine="0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 w:val="0"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4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40"/>
      <w:ind w:firstLine="0"/>
    </w:pPr>
    <w:rPr>
      <w:rFonts w:ascii="Times New Roman" w:hAnsi="Times New Roman" w:cs="Times New Roman" w:eastAsia="Times New Roman"/>
      <w:b w:val="0"/>
      <w:i w:val="0"/>
      <w:color w:val="000000"/>
      <w:sz w:val="18"/>
      <w:szCs w:val="20"/>
    </w:rPr>
  </w:style>
  <w:style w:type="paragraph" w:styleId="Bibliography">
    <w:name w:val="Bibliography"/>
    <w:basedOn w:val="Normal"/>
    <w:next w:val="Bibliography"/>
    <w:qFormat/>
    <w:pPr>
      <w:spacing w:after="40"/>
      <w:ind w:firstLine="0"/>
    </w:pPr>
    <w:rPr>
      <w:rFonts w:ascii="Times New Roman" w:hAnsi="Times New Roman" w:cs="Times New Roman" w:eastAsia="Times New Roman"/>
      <w:b w:val="0"/>
      <w:i w:val="0"/>
      <w:color w:val="000000"/>
      <w:sz w:val="16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 w:val="0"/>
      <w:color w:val="000000"/>
      <w:sz w:val="2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40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color w:val="000000"/>
      <w:sz w:val="2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color w:val="000000"/>
      <w:sz w:val="20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after="4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16"/>
    </w:rPr>
  </w:style>
  <w:style w:type="paragraph" w:customStyle="1" w:styleId="ImageCaption">
    <w:name w:val="Image Caption"/>
    <w:basedOn w:val="Caption"/>
    <w:pPr>
      <w:spacing w:after="40"/>
      <w:ind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69" Type="http://schemas.openxmlformats.org/officeDocument/2006/relationships/image" Target="media/rId69.png"/><Relationship Id="rId72" Type="http://schemas.openxmlformats.org/officeDocument/2006/relationships/image" Target="media/rId72.png"/><Relationship Id="rId78" Type="http://schemas.openxmlformats.org/officeDocument/2006/relationships/hyperlink" Target="http://archive.ics.uci.edu/ml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http://archive.ics.uci.edu/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Trust-Aware Explainable Federated Learning for Healthcare Risk Prediction</dc:title>
  <dc:creator>Dr H R Ravikumar; Asst. Prof. Lalitha K; Sahil Kumar; Mohit Khajuria; Manjunath K R; Prem Kumar S Computer Science and Engineering, Sai Vidya Institute of Technology, Bengaluru, India ravikumar.hr@saividya.ac.in, lalitha.k@saividya.ac.in, sahil.kumar.23.cs@gmail.com, iammohitkhajuria@gmail.com, manjunathkr14379@gmail.com, premkumarsprem234@gmail.com</dc:creator>
  <cp:keywords/>
  <dcterms:created xsi:type="dcterms:W3CDTF">2026-08-10T20:56:59Z</dcterms:created>
  <dcterms:modified xsi:type="dcterms:W3CDTF">2026-08-10T20:56:59Z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Federated learning (FL) enables several hospitals to train a shared clinical risk model without exchanging patient records, but standard aggregation such as FedAvg assumes every participant is honest. A single institution that submits poisoned updates can degrade the global model for all participants, and conventional defences based only on update geometry become unreliable when client data are strongly non-independent and identically distributed (non-IID). This paper presents TA-EFL, a trust-aware and explainable federated framework in which the server derives a per-client trust score from the extrapolated attribution signature of each submitted parameter vector, evaluated on a shared public reference set, and aggregates updates in proportion to n_k T_k^{\gamma}. Because the signature is recomputed server-side from the weights a client actually submits, it cannot be spoofed by reporting fabricated explanations. The framework is implemented on the Flower FL framework with a logistic-regression risk model whose exact closed-form SHAP values provide per-patient explanations. Across five tabular clinical prediction tasks and six experiments, trust-weighted aggregation retains an area under the ROC curve (AUC) of 0.810 \pm 0.018 with two of six clients malicious, where FedAvg falls to 0.769 \pm 0.067; an extrapolation factor of \kappa=4 raises the honest/attacker separation margin to +0.807 from +0.066 at \kappa=1. A sensitivity sweep over the trust-weighting parameter \alpha shows that, in this experimental configuration, relying on explanation consistency alone (\alpha=0) gives the largest separation margin, while AUC varies little across the sweep. All datasets are public or synthetic and all hospitals are simulated; the system is a research prototype and its outputs are risk estimates, not medical diagnoses.</vt:lpwstr>
  </property>
  <property fmtid="{D5CDD505-2E9C-101B-9397-08002B2CF9AE}" pid="3" name="date">
    <vt:lpwstr/>
  </property>
</Properties>
</file>