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F4E79"/>
          <w:sz w:val="48"/>
        </w:rPr>
        <w:t>WEEK 3 REPORT</w:t>
      </w:r>
    </w:p>
    <w:p>
      <w:pPr>
        <w:jc w:val="center"/>
      </w:pPr>
      <w:r>
        <w:rPr>
          <w:i/>
          <w:sz w:val="26"/>
        </w:rPr>
        <w:t>Data Preprocessing, Model Training and Evaluation</w:t>
      </w:r>
    </w:p>
    <w:p>
      <w:pPr>
        <w:spacing w:before="500"/>
        <w:jc w:val="center"/>
      </w:pPr>
      <w:r>
        <w:rPr>
          <w:b/>
        </w:rPr>
        <w:t>Prepared for Internship Submission</w:t>
      </w:r>
    </w:p>
    <w:p>
      <w:pPr>
        <w:jc w:val="center"/>
      </w:pPr>
      <w:r>
        <w:t>Project: Employee Attrition Prediction using Python</w:t>
      </w:r>
    </w:p>
    <w:p>
      <w:pPr>
        <w:spacing w:before="700"/>
        <w:jc w:val="center"/>
      </w:pPr>
      <w:r>
        <w:rPr>
          <w:color w:val="5A5A5A"/>
          <w:sz w:val="18"/>
        </w:rPr>
        <w:t>Evidence basis: the supplied Jupyter notebooks and their recorded outputs.</w:t>
      </w:r>
    </w:p>
    <w:p>
      <w:r>
        <w:br w:type="page"/>
      </w:r>
    </w:p>
    <w:p>
      <w:pPr>
        <w:pStyle w:val="Heading1"/>
      </w:pPr>
      <w:r>
        <w:t>1. Executive Summary</w:t>
      </w:r>
    </w:p>
    <w:p>
      <w:r>
        <w:t>The preprocessing and model-training notebooks were executed on the 1,470-row dataset. No exact duplicate rows were removed. Three constant columns—EmployeeCount, Over18 and StandardHours—were removed. The data was split using a stratified 80/20 train-test split with random_state=42. Three models were evaluated: a majority-class dummy baseline, logistic regression and random forest.</w:t>
      </w:r>
    </w:p>
    <w:p>
      <w:pPr>
        <w:pStyle w:val="Heading1"/>
      </w:pPr>
      <w:r>
        <w:t>2. Preprocessing Steps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40"/>
            </w:pPr>
            <w:r/>
            <w:r>
              <w:rPr>
                <w:b/>
                <w:color w:val="FFFFFF"/>
                <w:sz w:val="18"/>
              </w:rPr>
              <w:t>Step</w:t>
            </w:r>
          </w:p>
        </w:tc>
        <w:tc>
          <w:tcPr>
            <w:tcW w:type="dxa" w:w="5040"/>
            <w:vAlign w:val="center"/>
            <w:shd w:fill="1F4E79"/>
          </w:tcPr>
          <w:p>
            <w:pPr>
              <w:spacing w:after="40"/>
            </w:pPr>
            <w:r/>
            <w:r>
              <w:rPr>
                <w:b/>
                <w:color w:val="FFFFFF"/>
                <w:sz w:val="18"/>
              </w:rPr>
              <w:t>Recorded implementation / result</w:t>
            </w:r>
          </w:p>
        </w:tc>
      </w:tr>
      <w:tr>
        <w:tc>
          <w:tcPr>
            <w:tcW w:type="dxa" w:w="5040"/>
            <w:vAlign w:val="center"/>
          </w:tcPr>
          <w:p>
            <w:pPr>
              <w:spacing w:after="40"/>
            </w:pPr>
            <w:r/>
            <w:r>
              <w:rPr>
                <w:b w:val="0"/>
                <w:sz w:val="17"/>
              </w:rPr>
              <w:t>Duplicate check</w:t>
            </w:r>
          </w:p>
        </w:tc>
        <w:tc>
          <w:tcPr>
            <w:tcW w:type="dxa" w:w="5040"/>
            <w:vAlign w:val="center"/>
          </w:tcPr>
          <w:p>
            <w:pPr>
              <w:spacing w:after="40"/>
            </w:pPr>
            <w:r/>
            <w:r>
              <w:rPr>
                <w:b w:val="0"/>
                <w:sz w:val="17"/>
              </w:rPr>
              <w:t>0 exact duplicate rows removed</w:t>
            </w:r>
          </w:p>
        </w:tc>
      </w:tr>
      <w:tr>
        <w:tc>
          <w:tcPr>
            <w:tcW w:type="dxa" w:w="5040"/>
            <w:vAlign w:val="center"/>
          </w:tcPr>
          <w:p>
            <w:pPr>
              <w:spacing w:after="40"/>
            </w:pPr>
            <w:r/>
            <w:r>
              <w:rPr>
                <w:b w:val="0"/>
                <w:sz w:val="17"/>
              </w:rPr>
              <w:t>Constant columns</w:t>
            </w:r>
          </w:p>
        </w:tc>
        <w:tc>
          <w:tcPr>
            <w:tcW w:type="dxa" w:w="5040"/>
            <w:vAlign w:val="center"/>
          </w:tcPr>
          <w:p>
            <w:pPr>
              <w:spacing w:after="40"/>
            </w:pPr>
            <w:r/>
            <w:r>
              <w:rPr>
                <w:b w:val="0"/>
                <w:sz w:val="17"/>
              </w:rPr>
              <w:t>EmployeeCount, Over18 and StandardHours removed</w:t>
            </w:r>
          </w:p>
        </w:tc>
      </w:tr>
      <w:tr>
        <w:tc>
          <w:tcPr>
            <w:tcW w:type="dxa" w:w="5040"/>
            <w:vAlign w:val="center"/>
          </w:tcPr>
          <w:p>
            <w:pPr>
              <w:spacing w:after="40"/>
            </w:pPr>
            <w:r/>
            <w:r>
              <w:rPr>
                <w:b w:val="0"/>
                <w:sz w:val="17"/>
              </w:rPr>
              <w:t>Target</w:t>
            </w:r>
          </w:p>
        </w:tc>
        <w:tc>
          <w:tcPr>
            <w:tcW w:type="dxa" w:w="5040"/>
            <w:vAlign w:val="center"/>
          </w:tcPr>
          <w:p>
            <w:pPr>
              <w:spacing w:after="40"/>
            </w:pPr>
            <w:r/>
            <w:r>
              <w:rPr>
                <w:b w:val="0"/>
                <w:sz w:val="17"/>
              </w:rPr>
              <w:t>Attrition mapped to binary labels for classification</w:t>
            </w:r>
          </w:p>
        </w:tc>
      </w:tr>
      <w:tr>
        <w:tc>
          <w:tcPr>
            <w:tcW w:type="dxa" w:w="5040"/>
            <w:vAlign w:val="center"/>
          </w:tcPr>
          <w:p>
            <w:pPr>
              <w:spacing w:after="40"/>
            </w:pPr>
            <w:r/>
            <w:r>
              <w:rPr>
                <w:b w:val="0"/>
                <w:sz w:val="17"/>
              </w:rPr>
              <w:t>Identifier</w:t>
            </w:r>
          </w:p>
        </w:tc>
        <w:tc>
          <w:tcPr>
            <w:tcW w:type="dxa" w:w="5040"/>
            <w:vAlign w:val="center"/>
          </w:tcPr>
          <w:p>
            <w:pPr>
              <w:spacing w:after="40"/>
            </w:pPr>
            <w:r/>
            <w:r>
              <w:rPr>
                <w:b w:val="0"/>
                <w:sz w:val="17"/>
              </w:rPr>
              <w:t>EmployeeNumber excluded from predictive features</w:t>
            </w:r>
          </w:p>
        </w:tc>
      </w:tr>
      <w:tr>
        <w:tc>
          <w:tcPr>
            <w:tcW w:type="dxa" w:w="5040"/>
            <w:vAlign w:val="center"/>
          </w:tcPr>
          <w:p>
            <w:pPr>
              <w:spacing w:after="40"/>
            </w:pPr>
            <w:r/>
            <w:r>
              <w:rPr>
                <w:b w:val="0"/>
                <w:sz w:val="17"/>
              </w:rPr>
              <w:t>Train/test split</w:t>
            </w:r>
          </w:p>
        </w:tc>
        <w:tc>
          <w:tcPr>
            <w:tcW w:type="dxa" w:w="5040"/>
            <w:vAlign w:val="center"/>
          </w:tcPr>
          <w:p>
            <w:pPr>
              <w:spacing w:after="40"/>
            </w:pPr>
            <w:r/>
            <w:r>
              <w:rPr>
                <w:b w:val="0"/>
                <w:sz w:val="17"/>
              </w:rPr>
              <w:t>1,176 train rows and 294 test rows; stratified; test_size=0.20; random_state=42</w:t>
            </w:r>
          </w:p>
        </w:tc>
      </w:tr>
      <w:tr>
        <w:tc>
          <w:tcPr>
            <w:tcW w:type="dxa" w:w="5040"/>
            <w:vAlign w:val="center"/>
          </w:tcPr>
          <w:p>
            <w:pPr>
              <w:spacing w:after="40"/>
            </w:pPr>
            <w:r/>
            <w:r>
              <w:rPr>
                <w:b w:val="0"/>
                <w:sz w:val="17"/>
              </w:rPr>
              <w:t>Train attrition rate</w:t>
            </w:r>
          </w:p>
        </w:tc>
        <w:tc>
          <w:tcPr>
            <w:tcW w:type="dxa" w:w="5040"/>
            <w:vAlign w:val="center"/>
          </w:tcPr>
          <w:p>
            <w:pPr>
              <w:spacing w:after="40"/>
            </w:pPr>
            <w:r/>
            <w:r>
              <w:rPr>
                <w:b w:val="0"/>
                <w:sz w:val="17"/>
              </w:rPr>
              <w:t>Approximately 16.16%</w:t>
            </w:r>
          </w:p>
        </w:tc>
      </w:tr>
      <w:tr>
        <w:tc>
          <w:tcPr>
            <w:tcW w:type="dxa" w:w="5040"/>
            <w:vAlign w:val="center"/>
          </w:tcPr>
          <w:p>
            <w:pPr>
              <w:spacing w:after="40"/>
            </w:pPr>
            <w:r/>
            <w:r>
              <w:rPr>
                <w:b w:val="0"/>
                <w:sz w:val="17"/>
              </w:rPr>
              <w:t>Test attrition rate</w:t>
            </w:r>
          </w:p>
        </w:tc>
        <w:tc>
          <w:tcPr>
            <w:tcW w:type="dxa" w:w="5040"/>
            <w:vAlign w:val="center"/>
          </w:tcPr>
          <w:p>
            <w:pPr>
              <w:spacing w:after="40"/>
            </w:pPr>
            <w:r/>
            <w:r>
              <w:rPr>
                <w:b w:val="0"/>
                <w:sz w:val="17"/>
              </w:rPr>
              <w:t>Approximately 15.99%</w:t>
            </w:r>
          </w:p>
        </w:tc>
      </w:tr>
      <w:tr>
        <w:tc>
          <w:tcPr>
            <w:tcW w:type="dxa" w:w="5040"/>
            <w:vAlign w:val="center"/>
          </w:tcPr>
          <w:p>
            <w:pPr>
              <w:spacing w:after="40"/>
            </w:pPr>
            <w:r/>
            <w:r>
              <w:rPr>
                <w:b w:val="0"/>
                <w:sz w:val="17"/>
              </w:rPr>
              <w:t>Feature groups</w:t>
            </w:r>
          </w:p>
        </w:tc>
        <w:tc>
          <w:tcPr>
            <w:tcW w:type="dxa" w:w="5040"/>
            <w:vAlign w:val="center"/>
          </w:tcPr>
          <w:p>
            <w:pPr>
              <w:spacing w:after="40"/>
            </w:pPr>
            <w:r/>
            <w:r>
              <w:rPr>
                <w:b w:val="0"/>
                <w:sz w:val="17"/>
              </w:rPr>
              <w:t>23 numeric and 7 categorical features identified</w:t>
            </w:r>
          </w:p>
        </w:tc>
      </w:tr>
      <w:tr>
        <w:tc>
          <w:tcPr>
            <w:tcW w:type="dxa" w:w="5040"/>
            <w:vAlign w:val="center"/>
          </w:tcPr>
          <w:p>
            <w:pPr>
              <w:spacing w:after="40"/>
            </w:pPr>
            <w:r/>
            <w:r>
              <w:rPr>
                <w:b w:val="0"/>
                <w:sz w:val="17"/>
              </w:rPr>
              <w:t>Preprocessing</w:t>
            </w:r>
          </w:p>
        </w:tc>
        <w:tc>
          <w:tcPr>
            <w:tcW w:type="dxa" w:w="5040"/>
            <w:vAlign w:val="center"/>
          </w:tcPr>
          <w:p>
            <w:pPr>
              <w:spacing w:after="40"/>
            </w:pPr>
            <w:r/>
            <w:r>
              <w:rPr>
                <w:b w:val="0"/>
                <w:sz w:val="17"/>
              </w:rPr>
              <w:t>Numeric imputation/scaling and categorical imputation/one-hot encoding are handled within the modeling pipeline</w:t>
            </w:r>
          </w:p>
        </w:tc>
      </w:tr>
    </w:tbl>
    <w:p/>
    <w:p>
      <w:pPr>
        <w:pStyle w:val="Heading1"/>
      </w:pPr>
      <w:r>
        <w:t>3. Models Compared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40"/>
            </w:pPr>
            <w:r/>
            <w:r>
              <w:rPr>
                <w:b/>
                <w:color w:val="FFFFFF"/>
                <w:sz w:val="18"/>
              </w:rPr>
              <w:t>Model</w:t>
            </w:r>
          </w:p>
        </w:tc>
        <w:tc>
          <w:tcPr>
            <w:tcW w:type="dxa" w:w="5040"/>
            <w:vAlign w:val="center"/>
            <w:shd w:fill="1F4E79"/>
          </w:tcPr>
          <w:p>
            <w:pPr>
              <w:spacing w:after="40"/>
            </w:pPr>
            <w:r/>
            <w:r>
              <w:rPr>
                <w:b/>
                <w:color w:val="FFFFFF"/>
                <w:sz w:val="18"/>
              </w:rPr>
              <w:t>Role</w:t>
            </w:r>
          </w:p>
        </w:tc>
      </w:tr>
      <w:tr>
        <w:tc>
          <w:tcPr>
            <w:tcW w:type="dxa" w:w="5040"/>
            <w:vAlign w:val="center"/>
          </w:tcPr>
          <w:p>
            <w:pPr>
              <w:spacing w:after="40"/>
            </w:pPr>
            <w:r/>
            <w:r>
              <w:rPr>
                <w:b w:val="0"/>
                <w:sz w:val="17"/>
              </w:rPr>
              <w:t>Dummy baseline</w:t>
            </w:r>
          </w:p>
        </w:tc>
        <w:tc>
          <w:tcPr>
            <w:tcW w:type="dxa" w:w="5040"/>
            <w:vAlign w:val="center"/>
          </w:tcPr>
          <w:p>
            <w:pPr>
              <w:spacing w:after="40"/>
            </w:pPr>
            <w:r/>
            <w:r>
              <w:rPr>
                <w:b w:val="0"/>
                <w:sz w:val="17"/>
              </w:rPr>
              <w:t>Predicts the majority class; reference point for judging whether machine learning adds value</w:t>
            </w:r>
          </w:p>
        </w:tc>
      </w:tr>
      <w:tr>
        <w:tc>
          <w:tcPr>
            <w:tcW w:type="dxa" w:w="5040"/>
            <w:vAlign w:val="center"/>
          </w:tcPr>
          <w:p>
            <w:pPr>
              <w:spacing w:after="40"/>
            </w:pPr>
            <w:r/>
            <w:r>
              <w:rPr>
                <w:b w:val="0"/>
                <w:sz w:val="17"/>
              </w:rPr>
              <w:t>Logistic Regression</w:t>
            </w:r>
          </w:p>
        </w:tc>
        <w:tc>
          <w:tcPr>
            <w:tcW w:type="dxa" w:w="5040"/>
            <w:vAlign w:val="center"/>
          </w:tcPr>
          <w:p>
            <w:pPr>
              <w:spacing w:after="40"/>
            </w:pPr>
            <w:r/>
            <w:r>
              <w:rPr>
                <w:b w:val="0"/>
                <w:sz w:val="17"/>
              </w:rPr>
              <w:t>Interpretable baseline with class weighting</w:t>
            </w:r>
          </w:p>
        </w:tc>
      </w:tr>
      <w:tr>
        <w:tc>
          <w:tcPr>
            <w:tcW w:type="dxa" w:w="5040"/>
            <w:vAlign w:val="center"/>
          </w:tcPr>
          <w:p>
            <w:pPr>
              <w:spacing w:after="40"/>
            </w:pPr>
            <w:r/>
            <w:r>
              <w:rPr>
                <w:b w:val="0"/>
                <w:sz w:val="17"/>
              </w:rPr>
              <w:t>Random Forest</w:t>
            </w:r>
          </w:p>
        </w:tc>
        <w:tc>
          <w:tcPr>
            <w:tcW w:type="dxa" w:w="5040"/>
            <w:vAlign w:val="center"/>
          </w:tcPr>
          <w:p>
            <w:pPr>
              <w:spacing w:after="40"/>
            </w:pPr>
            <w:r/>
            <w:r>
              <w:rPr>
                <w:b w:val="0"/>
                <w:sz w:val="17"/>
              </w:rPr>
              <w:t>Tree-based model that can capture nonlinear relationships</w:t>
            </w:r>
          </w:p>
        </w:tc>
      </w:tr>
    </w:tbl>
    <w:p/>
    <w:p>
      <w:pPr>
        <w:pStyle w:val="Heading1"/>
      </w:pPr>
      <w:r>
        <w:t>4. Test-Set Results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1F4E79"/>
          </w:tcPr>
          <w:p>
            <w:pPr>
              <w:spacing w:after="40"/>
            </w:pPr>
            <w:r/>
            <w:r>
              <w:rPr>
                <w:b/>
                <w:color w:val="FFFFFF"/>
                <w:sz w:val="18"/>
              </w:rPr>
              <w:t>Model</w:t>
            </w:r>
          </w:p>
        </w:tc>
        <w:tc>
          <w:tcPr>
            <w:tcW w:type="dxa" w:w="1680"/>
            <w:vAlign w:val="center"/>
            <w:shd w:fill="1F4E79"/>
          </w:tcPr>
          <w:p>
            <w:pPr>
              <w:spacing w:after="40"/>
            </w:pPr>
            <w:r/>
            <w:r>
              <w:rPr>
                <w:b/>
                <w:color w:val="FFFFFF"/>
                <w:sz w:val="18"/>
              </w:rPr>
              <w:t>Accuracy</w:t>
            </w:r>
          </w:p>
        </w:tc>
        <w:tc>
          <w:tcPr>
            <w:tcW w:type="dxa" w:w="1680"/>
            <w:vAlign w:val="center"/>
            <w:shd w:fill="1F4E79"/>
          </w:tcPr>
          <w:p>
            <w:pPr>
              <w:spacing w:after="40"/>
            </w:pPr>
            <w:r/>
            <w:r>
              <w:rPr>
                <w:b/>
                <w:color w:val="FFFFFF"/>
                <w:sz w:val="18"/>
              </w:rPr>
              <w:t>Precision</w:t>
            </w:r>
          </w:p>
        </w:tc>
        <w:tc>
          <w:tcPr>
            <w:tcW w:type="dxa" w:w="1680"/>
            <w:vAlign w:val="center"/>
            <w:shd w:fill="1F4E79"/>
          </w:tcPr>
          <w:p>
            <w:pPr>
              <w:spacing w:after="40"/>
            </w:pPr>
            <w:r/>
            <w:r>
              <w:rPr>
                <w:b/>
                <w:color w:val="FFFFFF"/>
                <w:sz w:val="18"/>
              </w:rPr>
              <w:t>Recall</w:t>
            </w:r>
          </w:p>
        </w:tc>
        <w:tc>
          <w:tcPr>
            <w:tcW w:type="dxa" w:w="1680"/>
            <w:vAlign w:val="center"/>
            <w:shd w:fill="1F4E79"/>
          </w:tcPr>
          <w:p>
            <w:pPr>
              <w:spacing w:after="40"/>
            </w:pPr>
            <w:r/>
            <w:r>
              <w:rPr>
                <w:b/>
                <w:color w:val="FFFFFF"/>
                <w:sz w:val="18"/>
              </w:rPr>
              <w:t>F1-score</w:t>
            </w:r>
          </w:p>
        </w:tc>
        <w:tc>
          <w:tcPr>
            <w:tcW w:type="dxa" w:w="1680"/>
            <w:vAlign w:val="center"/>
            <w:shd w:fill="1F4E79"/>
          </w:tcPr>
          <w:p>
            <w:pPr>
              <w:spacing w:after="40"/>
            </w:pPr>
            <w:r/>
            <w:r>
              <w:rPr>
                <w:b/>
                <w:color w:val="FFFFFF"/>
                <w:sz w:val="18"/>
              </w:rPr>
              <w:t>ROC-AUC</w:t>
            </w:r>
          </w:p>
        </w:tc>
      </w:tr>
      <w:tr>
        <w:tc>
          <w:tcPr>
            <w:tcW w:type="dxa" w:w="1680"/>
            <w:vAlign w:val="center"/>
          </w:tcPr>
          <w:p>
            <w:pPr>
              <w:spacing w:after="40"/>
            </w:pPr>
            <w:r/>
            <w:r>
              <w:rPr>
                <w:b w:val="0"/>
                <w:sz w:val="17"/>
              </w:rPr>
              <w:t>Dummy baseline</w:t>
            </w:r>
          </w:p>
        </w:tc>
        <w:tc>
          <w:tcPr>
            <w:tcW w:type="dxa" w:w="1680"/>
            <w:vAlign w:val="center"/>
          </w:tcPr>
          <w:p>
            <w:pPr>
              <w:spacing w:after="40"/>
            </w:pPr>
            <w:r/>
            <w:r>
              <w:rPr>
                <w:b w:val="0"/>
                <w:sz w:val="17"/>
              </w:rPr>
              <w:t>0.840</w:t>
            </w:r>
          </w:p>
        </w:tc>
        <w:tc>
          <w:tcPr>
            <w:tcW w:type="dxa" w:w="1680"/>
            <w:vAlign w:val="center"/>
          </w:tcPr>
          <w:p>
            <w:pPr>
              <w:spacing w:after="40"/>
            </w:pPr>
            <w:r/>
            <w:r>
              <w:rPr>
                <w:b w:val="0"/>
                <w:sz w:val="17"/>
              </w:rPr>
              <w:t>0.000</w:t>
            </w:r>
          </w:p>
        </w:tc>
        <w:tc>
          <w:tcPr>
            <w:tcW w:type="dxa" w:w="1680"/>
            <w:vAlign w:val="center"/>
          </w:tcPr>
          <w:p>
            <w:pPr>
              <w:spacing w:after="40"/>
            </w:pPr>
            <w:r/>
            <w:r>
              <w:rPr>
                <w:b w:val="0"/>
                <w:sz w:val="17"/>
              </w:rPr>
              <w:t>0.000</w:t>
            </w:r>
          </w:p>
        </w:tc>
        <w:tc>
          <w:tcPr>
            <w:tcW w:type="dxa" w:w="1680"/>
            <w:vAlign w:val="center"/>
          </w:tcPr>
          <w:p>
            <w:pPr>
              <w:spacing w:after="40"/>
            </w:pPr>
            <w:r/>
            <w:r>
              <w:rPr>
                <w:b w:val="0"/>
                <w:sz w:val="17"/>
              </w:rPr>
              <w:t>0.000</w:t>
            </w:r>
          </w:p>
        </w:tc>
        <w:tc>
          <w:tcPr>
            <w:tcW w:type="dxa" w:w="1680"/>
            <w:vAlign w:val="center"/>
          </w:tcPr>
          <w:p>
            <w:pPr>
              <w:spacing w:after="40"/>
            </w:pPr>
            <w:r/>
            <w:r>
              <w:rPr>
                <w:b w:val="0"/>
                <w:sz w:val="17"/>
              </w:rPr>
              <w:t>0.500</w:t>
            </w:r>
          </w:p>
        </w:tc>
      </w:tr>
      <w:tr>
        <w:tc>
          <w:tcPr>
            <w:tcW w:type="dxa" w:w="1680"/>
            <w:vAlign w:val="center"/>
          </w:tcPr>
          <w:p>
            <w:pPr>
              <w:spacing w:after="40"/>
            </w:pPr>
            <w:r/>
            <w:r>
              <w:rPr>
                <w:b w:val="0"/>
                <w:sz w:val="17"/>
              </w:rPr>
              <w:t>Logistic Regression</w:t>
            </w:r>
          </w:p>
        </w:tc>
        <w:tc>
          <w:tcPr>
            <w:tcW w:type="dxa" w:w="1680"/>
            <w:vAlign w:val="center"/>
          </w:tcPr>
          <w:p>
            <w:pPr>
              <w:spacing w:after="40"/>
            </w:pPr>
            <w:r/>
            <w:r>
              <w:rPr>
                <w:b w:val="0"/>
                <w:sz w:val="17"/>
              </w:rPr>
              <w:t>0.752</w:t>
            </w:r>
          </w:p>
        </w:tc>
        <w:tc>
          <w:tcPr>
            <w:tcW w:type="dxa" w:w="1680"/>
            <w:vAlign w:val="center"/>
          </w:tcPr>
          <w:p>
            <w:pPr>
              <w:spacing w:after="40"/>
            </w:pPr>
            <w:r/>
            <w:r>
              <w:rPr>
                <w:b w:val="0"/>
                <w:sz w:val="17"/>
              </w:rPr>
              <w:t>0.349</w:t>
            </w:r>
          </w:p>
        </w:tc>
        <w:tc>
          <w:tcPr>
            <w:tcW w:type="dxa" w:w="1680"/>
            <w:vAlign w:val="center"/>
          </w:tcPr>
          <w:p>
            <w:pPr>
              <w:spacing w:after="40"/>
            </w:pPr>
            <w:r/>
            <w:r>
              <w:rPr>
                <w:b w:val="0"/>
                <w:sz w:val="17"/>
              </w:rPr>
              <w:t>0.638</w:t>
            </w:r>
          </w:p>
        </w:tc>
        <w:tc>
          <w:tcPr>
            <w:tcW w:type="dxa" w:w="1680"/>
            <w:vAlign w:val="center"/>
          </w:tcPr>
          <w:p>
            <w:pPr>
              <w:spacing w:after="40"/>
            </w:pPr>
            <w:r/>
            <w:r>
              <w:rPr>
                <w:b w:val="0"/>
                <w:sz w:val="17"/>
              </w:rPr>
              <w:t>0.451</w:t>
            </w:r>
          </w:p>
        </w:tc>
        <w:tc>
          <w:tcPr>
            <w:tcW w:type="dxa" w:w="1680"/>
            <w:vAlign w:val="center"/>
          </w:tcPr>
          <w:p>
            <w:pPr>
              <w:spacing w:after="40"/>
            </w:pPr>
            <w:r/>
            <w:r>
              <w:rPr>
                <w:b w:val="0"/>
                <w:sz w:val="17"/>
              </w:rPr>
              <w:t>0.803</w:t>
            </w:r>
          </w:p>
        </w:tc>
      </w:tr>
      <w:tr>
        <w:tc>
          <w:tcPr>
            <w:tcW w:type="dxa" w:w="1680"/>
            <w:vAlign w:val="center"/>
          </w:tcPr>
          <w:p>
            <w:pPr>
              <w:spacing w:after="40"/>
            </w:pPr>
            <w:r/>
            <w:r>
              <w:rPr>
                <w:b w:val="0"/>
                <w:sz w:val="17"/>
              </w:rPr>
              <w:t>Random Forest</w:t>
            </w:r>
          </w:p>
        </w:tc>
        <w:tc>
          <w:tcPr>
            <w:tcW w:type="dxa" w:w="1680"/>
            <w:vAlign w:val="center"/>
          </w:tcPr>
          <w:p>
            <w:pPr>
              <w:spacing w:after="40"/>
            </w:pPr>
            <w:r/>
            <w:r>
              <w:rPr>
                <w:b w:val="0"/>
                <w:sz w:val="17"/>
              </w:rPr>
              <w:t>0.840</w:t>
            </w:r>
          </w:p>
        </w:tc>
        <w:tc>
          <w:tcPr>
            <w:tcW w:type="dxa" w:w="1680"/>
            <w:vAlign w:val="center"/>
          </w:tcPr>
          <w:p>
            <w:pPr>
              <w:spacing w:after="40"/>
            </w:pPr>
            <w:r/>
            <w:r>
              <w:rPr>
                <w:b w:val="0"/>
                <w:sz w:val="17"/>
              </w:rPr>
              <w:t>0.500</w:t>
            </w:r>
          </w:p>
        </w:tc>
        <w:tc>
          <w:tcPr>
            <w:tcW w:type="dxa" w:w="1680"/>
            <w:vAlign w:val="center"/>
          </w:tcPr>
          <w:p>
            <w:pPr>
              <w:spacing w:after="40"/>
            </w:pPr>
            <w:r/>
            <w:r>
              <w:rPr>
                <w:b w:val="0"/>
                <w:sz w:val="17"/>
              </w:rPr>
              <w:t>0.170</w:t>
            </w:r>
          </w:p>
        </w:tc>
        <w:tc>
          <w:tcPr>
            <w:tcW w:type="dxa" w:w="1680"/>
            <w:vAlign w:val="center"/>
          </w:tcPr>
          <w:p>
            <w:pPr>
              <w:spacing w:after="40"/>
            </w:pPr>
            <w:r/>
            <w:r>
              <w:rPr>
                <w:b w:val="0"/>
                <w:sz w:val="17"/>
              </w:rPr>
              <w:t>0.254</w:t>
            </w:r>
          </w:p>
        </w:tc>
        <w:tc>
          <w:tcPr>
            <w:tcW w:type="dxa" w:w="1680"/>
            <w:vAlign w:val="center"/>
          </w:tcPr>
          <w:p>
            <w:pPr>
              <w:spacing w:after="40"/>
            </w:pPr>
            <w:r/>
            <w:r>
              <w:rPr>
                <w:b w:val="0"/>
                <w:sz w:val="17"/>
              </w:rPr>
              <w:t>0.798</w:t>
            </w:r>
          </w:p>
        </w:tc>
      </w:tr>
    </w:tbl>
    <w:p/>
    <w:p>
      <w:r>
        <w:drawing>
          <wp:inline xmlns:a="http://schemas.openxmlformats.org/drawingml/2006/main" xmlns:pic="http://schemas.openxmlformats.org/drawingml/2006/picture">
            <wp:extent cx="5577840" cy="3137535"/>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11"/>
                    <a:stretch>
                      <a:fillRect/>
                    </a:stretch>
                  </pic:blipFill>
                  <pic:spPr>
                    <a:xfrm>
                      <a:off x="0" y="0"/>
                      <a:ext cx="5577840" cy="3137535"/>
                    </a:xfrm>
                    <a:prstGeom prst="rect"/>
                  </pic:spPr>
                </pic:pic>
              </a:graphicData>
            </a:graphic>
          </wp:inline>
        </w:drawing>
      </w:r>
    </w:p>
    <w:p>
      <w:pPr>
        <w:jc w:val="center"/>
      </w:pPr>
      <w:r>
        <w:t>Figure 1. Model metrics recorded by the model-training notebook. Recall and F1 refer to the Attrition = Yes class.</w:t>
      </w:r>
    </w:p>
    <w:p>
      <w:pPr>
        <w:pStyle w:val="Heading1"/>
      </w:pPr>
      <w:r>
        <w:t>5. Interpretation of Results</w:t>
      </w:r>
    </w:p>
    <w:p>
      <w:pPr>
        <w:pStyle w:val="ListBullet"/>
      </w:pPr>
      <w:r>
        <w:t>The dummy baseline achieved 84.0% accuracy by predicting the majority class, but it had zero recall for Attrition = Yes. This demonstrates why accuracy alone is insufficient.</w:t>
      </w:r>
    </w:p>
    <w:p>
      <w:pPr>
        <w:pStyle w:val="ListBullet"/>
      </w:pPr>
      <w:r>
        <w:t>Logistic regression achieved the highest attrition recall (0.638) and F1-score (0.451) among the evaluated models. It identified a larger share of attrition cases, but its precision was 0.349 and overall accuracy was lower.</w:t>
      </w:r>
    </w:p>
    <w:p>
      <w:pPr>
        <w:pStyle w:val="ListBullet"/>
      </w:pPr>
      <w:r>
        <w:t>Random forest achieved 84.0% accuracy and 0.500 precision, but its attrition recall was only 0.170, meaning it missed many positive cases at the default threshold.</w:t>
      </w:r>
    </w:p>
    <w:p>
      <w:pPr>
        <w:pStyle w:val="ListBullet"/>
      </w:pPr>
      <w:r>
        <w:t>The notebook selected logistic regression by F1-score for the confusion-matrix demonstration. This is a teaching selection rule, not proof that it is the best operational model.</w:t>
      </w:r>
    </w:p>
    <w:p>
      <w:pPr>
        <w:pStyle w:val="Heading1"/>
      </w:pPr>
      <w:r>
        <w:t>6. Evaluation Limitations</w:t>
      </w:r>
    </w:p>
    <w:p>
      <w:pPr>
        <w:pStyle w:val="ListBullet"/>
      </w:pPr>
      <w:r>
        <w:t>Evaluation uses a single stratified holdout split rather than temporal validation or cross-validation.</w:t>
      </w:r>
    </w:p>
    <w:p>
      <w:pPr>
        <w:pStyle w:val="ListBullet"/>
      </w:pPr>
      <w:r>
        <w:t>The target reflects the supplied dataset’s Attrition label; the notebook does not define a future six-month prediction window.</w:t>
      </w:r>
    </w:p>
    <w:p>
      <w:pPr>
        <w:pStyle w:val="ListBullet"/>
      </w:pPr>
      <w:r>
        <w:t>The results are dataset-specific and may not generalize to another organization or time period.</w:t>
      </w:r>
    </w:p>
    <w:p>
      <w:pPr>
        <w:pStyle w:val="ListBullet"/>
      </w:pPr>
      <w:r>
        <w:t>Threshold selection, calibration, fairness/subgroup evaluation and PR-AUC analysis would be useful additions before any real-world use.</w:t>
      </w:r>
    </w:p>
    <w:p>
      <w:pPr>
        <w:pStyle w:val="Heading1"/>
      </w:pPr>
      <w:r>
        <w:t>7. Week 3 Conclusion</w:t>
      </w:r>
    </w:p>
    <w:p>
      <w:r>
        <w:t>The executed notebooks demonstrate an end-to-end baseline workflow. Logistic regression provides the strongest balance of recall and F1 among these three runs, while the dummy baseline confirms that high accuracy can hide complete failure to detect attrition cases. Further validation would be required before drawing operational conclusions.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WEEK 3 | Internship 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EMPLOYEE ATTRITION PREDICTION | PYTHON DATA SCIENCE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