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t xml:space="preserve">Mohit Pratap Singh Rathore</w:t>
      </w:r>
      <w:r>
        <w:br/>
      </w:r>
      <w:r>
        <w:t xml:space="preserve">Oviqo Private Limited</w:t>
      </w:r>
    </w:p>
    <w:p>
      <w:pPr>
        <w:pStyle w:val="Author"/>
      </w:pPr>
      <w:r>
        <w:t xml:space="preserve">Gunveer Sinh Kalsi</w:t>
      </w:r>
      <w:r>
        <w:br/>
      </w:r>
      <w:r>
        <w:t xml:space="preserve">Oviqo Private Limited</w:t>
      </w:r>
    </w:p>
    <w:p>
      <w:pPr>
        <w:pStyle w:val="Author"/>
      </w:pPr>
      <w:r>
        <w:t xml:space="preserve">Sriharsha Meduri</w:t>
      </w:r>
      <w:r>
        <w:br/>
      </w:r>
      <w:r>
        <w:t xml:space="preserve">Oviqo Private Limited</w:t>
      </w:r>
    </w:p>
    <w:p>
      <w:pPr>
        <w:pStyle w:val="AbstractTitle"/>
      </w:pPr>
      <w:r>
        <w:t xml:space="preserve">Abstract</w:t>
      </w:r>
    </w:p>
    <w:p>
      <w:pPr>
        <w:pStyle w:val="Abstract"/>
      </w:pPr>
      <w:r>
        <w:t xml:space="preserve">Scaling reduces how often language models make long-horizon errors, but it is</w:t>
      </w:r>
      <w:r>
        <w:t xml:space="preserve"> </w:t>
      </w:r>
      <w:r>
        <w:t xml:space="preserve">rarely asked which errors it removes. We classify every illegal move made by</w:t>
      </w:r>
      <w:r>
        <w:t xml:space="preserve"> </w:t>
      </w:r>
      <w:r>
        <w:t xml:space="preserve">search-free chess transformers by what made it illegal, using only a rules engine,</w:t>
      </w:r>
      <w:r>
        <w:t xml:space="preserve"> </w:t>
      </w:r>
      <w:r>
        <w:t xml:space="preserve">and measure how the absolute rate of each class falls with model size. Across</w:t>
      </w:r>
      <w:r>
        <w:t xml:space="preserve"> </w:t>
      </w:r>
      <w:r>
        <w:t xml:space="preserve">18 models spanning 3.4M to 39.9M</w:t>
      </w:r>
      <w:r>
        <w:t xml:space="preserve"> </w:t>
      </w:r>
      <w:r>
        <w:t xml:space="preserve">parameters, errors decidable from the move’s own squares fall with exponent</w:t>
      </w:r>
      <w:r>
        <w:t xml:space="preserve"> </w:t>
      </w:r>
      <m:oMath>
        <m:r>
          <m:rPr>
            <m:sty m:val="p"/>
          </m:rPr>
          <m:t>−</m:t>
        </m:r>
      </m:oMath>
      <w:r>
        <w:t xml:space="preserve">0.574, while moves illegal only because they leave the king in</w:t>
      </w:r>
      <w:r>
        <w:t xml:space="preserve"> </w:t>
      </w:r>
      <w:r>
        <w:t xml:space="preserve">check fall with exponent</w:t>
      </w:r>
      <w:r>
        <w:t xml:space="preserve"> </w:t>
      </w:r>
      <m:oMath>
        <m:r>
          <m:rPr>
            <m:sty m:val="p"/>
          </m:rPr>
          <m:t>−</m:t>
        </m:r>
      </m:oMath>
      <w:r>
        <w:t xml:space="preserve">0.112: a paired differential of</w:t>
      </w:r>
      <w:r>
        <w:t xml:space="preserve"> </w:t>
      </w:r>
      <w:r>
        <w:t xml:space="preserve">+0.461 [+0.259, +0.599]. Failures</w:t>
      </w:r>
      <w:r>
        <w:t xml:space="preserve"> </w:t>
      </w:r>
      <w:r>
        <w:t xml:space="preserve">that occur despite correct internal belief about the move’s squares do not fall</w:t>
      </w:r>
      <w:r>
        <w:t xml:space="preserve"> </w:t>
      </w:r>
      <w:r>
        <w:t xml:space="preserve">at all, exponent +0.023. The ordering replicates on an independent</w:t>
      </w:r>
      <w:r>
        <w:t xml:space="preserve"> </w:t>
      </w:r>
      <w:r>
        <w:t xml:space="preserve">character-level ladder spanning a 38-fold parameter range, and in</w:t>
      </w:r>
      <w:r>
        <w:t xml:space="preserve"> </w:t>
      </w:r>
      <w:r>
        <w:t xml:space="preserve">OthelloGPT every residual failure is of the non-local kind. A causal account</w:t>
      </w:r>
      <w:r>
        <w:t xml:space="preserve"> </w:t>
      </w:r>
      <w:r>
        <w:t xml:space="preserve">follows: belief is coupled to action locally, a repair edit can correct about two</w:t>
      </w:r>
      <w:r>
        <w:t xml:space="preserve"> </w:t>
      </w:r>
      <w:r>
        <w:t xml:space="preserve">squares, and the class that scale leaves behind is the class local correction</w:t>
      </w:r>
      <w:r>
        <w:t xml:space="preserve"> </w:t>
      </w:r>
      <w:r>
        <w:t xml:space="preserve">cannot reach. The standard intervention metric inverts on the same data. Illegal</w:t>
      </w:r>
      <w:r>
        <w:t xml:space="preserve"> </w:t>
      </w:r>
      <w:r>
        <w:t xml:space="preserve">move rate ranks a norm-matched random edit above correct repair in</w:t>
      </w:r>
      <w:r>
        <w:t xml:space="preserve"> </w:t>
      </w:r>
      <w:r>
        <w:t xml:space="preserve">18 of 18 models, because hedging lowers it.</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4.01-fold across our ladder and the</w:t>
      </w:r>
      <w:r>
        <w:t xml:space="preserve"> </w:t>
      </w:r>
      <w:r>
        <w:t xml:space="preserve">check class 1.31-fold, a differential exponent of</w:t>
      </w:r>
      <w:r>
        <w:t xml:space="preserve"> </w:t>
      </w:r>
      <w:r>
        <w:t xml:space="preserve">+0.461 that excludes zero in every rung resample.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component scale does not remove is the one local correction</w:t>
      </w:r>
      <w:r>
        <w:rPr>
          <w:b/>
          <w:bCs/>
        </w:rPr>
        <w:t xml:space="preserve"> </w:t>
      </w:r>
      <w:r>
        <w:rPr>
          <w:b/>
          <w:bCs/>
        </w:rPr>
        <w:t xml:space="preserve">cannot reach.</w:t>
      </w:r>
      <w:r>
        <w:t xml:space="preserve"> </w:t>
      </w:r>
      <w:r>
        <w:t xml:space="preserve">Internal belief is causally coupled to action at the squares a</w:t>
      </w:r>
      <w:r>
        <w:t xml:space="preserve"> </w:t>
      </w:r>
      <w:r>
        <w:t xml:space="preserve">move touches, a residual-stream repair can install at most about two squares, and</w:t>
      </w:r>
      <w:r>
        <w:t xml:space="preserve"> </w:t>
      </w:r>
      <w:r>
        <w:t xml:space="preserve">failures that occur despite correct belief at those squares have an exponent</w:t>
      </w:r>
      <w:r>
        <w:t xml:space="preserve"> </w:t>
      </w:r>
      <w:r>
        <w:t xml:space="preserve">indistinguishable from zero.</w:t>
      </w:r>
    </w:p>
    <w:p>
      <w:pPr>
        <w:numPr>
          <w:ilvl w:val="0"/>
          <w:numId w:val="1001"/>
        </w:numPr>
      </w:pPr>
      <w:r>
        <w:rPr>
          <w:b/>
          <w:bCs/>
        </w:rPr>
        <w:t xml:space="preserve">The usual way of scoring interventions reads this backwards.</w:t>
      </w:r>
      <w:r>
        <w:t xml:space="preserve"> </w:t>
      </w:r>
      <w:r>
        <w:t xml:space="preserve">Illegal-move rate rewards edits that flatten the output distribution, and on our</w:t>
      </w:r>
      <w:r>
        <w:t xml:space="preserve"> </w:t>
      </w:r>
      <w:r>
        <w:t xml:space="preserve">data it prefers a random direction to the correct repair in every model.</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ladders and two games; a mechanistic account,</w:t>
      </w:r>
      <w:r>
        <w:t xml:space="preserve"> </w:t>
      </w:r>
      <w:r>
        <w:t xml:space="preserve">with a measured capability limit on the causal instrument; and a demonstration</w:t>
      </w:r>
      <w:r>
        <w:t xml:space="preserve"> </w:t>
      </w:r>
      <w:r>
        <w:t xml:space="preserve">that a widely used intervention metric is anti-correlated with the effect it is</w:t>
      </w:r>
      <w:r>
        <w:t xml:space="preserve"> </w:t>
      </w:r>
      <w:r>
        <w:t xml:space="preserve">meant to measure. The probe and edit instruments used in Section </w:t>
      </w:r>
      <w:hyperlink w:anchor="sec:mech">
        <w:r>
          <w:rPr>
            <w:rStyle w:val="Hyperlink"/>
          </w:rPr>
          <w:t xml:space="preserve">6</w:t>
        </w:r>
      </w:hyperlink>
      <w:r>
        <w:t xml:space="preserve"> </w:t>
      </w:r>
      <w:r>
        <w:t xml:space="preserve">are established in prior work</w:t>
      </w:r>
      <w:r>
        <w:t xml:space="preserve"> </w:t>
      </w:r>
      <w:r>
        <w:t xml:space="preserve">(Rathore et al. 2026)</w:t>
      </w:r>
      <w:r>
        <w:t xml:space="preserve">;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6</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7</w:t>
        </w:r>
      </w:hyperlink>
      <w:r>
        <w:t xml:space="preserve"> </w:t>
      </w:r>
      <w:r>
        <w:t xml:space="preserve">shows why that rate</w:t>
      </w:r>
      <w:r>
        <w:t xml:space="preserve"> </w:t>
      </w:r>
      <w:r>
        <w:t xml:space="preserve">can reward perturbations for the wrong reason.</w:t>
      </w:r>
    </w:p>
    <w:bookmarkEnd w:id="15"/>
    <w:bookmarkEnd w:id="16"/>
    <w:bookmarkStart w:id="21"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9</w:t>
        </w:r>
      </w:hyperlink>
      <w:r>
        <w:t xml:space="preserve">).</w:t>
      </w:r>
    </w:p>
    <w:bookmarkEnd w:id="17"/>
    <w:bookmarkStart w:id="18"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Geometry</w:t>
      </w:r>
      <w:r>
        <w:t xml:space="preserve"> </w:t>
      </w:r>
      <w:r>
        <w:t xml:space="preserve">depends on intervening squares, and check on the positions of every attacker.</w:t>
      </w:r>
      <w:r>
        <w:t xml:space="preserve"> </w:t>
      </w:r>
      <w:r>
        <w:t xml:space="preserve">Across all 18 runs the residual class that none of these rules catch</w:t>
      </w:r>
      <w:r>
        <w:t xml:space="preserve"> </w:t>
      </w:r>
      <w:r>
        <w:t xml:space="preserve">has a maximum share of 0.0000, which confirms the taxonomy is</w:t>
      </w:r>
      <w:r>
        <w:t xml:space="preserve"> </w:t>
      </w:r>
      <w:r>
        <w:t xml:space="preserve">exhaustive and the parser correct; it is a quality check, not a finding.</w:t>
      </w:r>
    </w:p>
    <w:bookmarkEnd w:id="18"/>
    <w:bookmarkStart w:id="19"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19"/>
    <w:bookmarkStart w:id="20"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bookmarkEnd w:id="20"/>
    <w:bookmarkEnd w:id="21"/>
    <w:bookmarkStart w:id="28" w:name="sec:scaling"/>
    <w:p>
      <w:pPr>
        <w:pStyle w:val="Heading1"/>
      </w:pPr>
      <w:r>
        <w:t xml:space="preserve">Differential Scaling</w:t>
      </w:r>
    </w:p>
    <w:bookmarkStart w:id="22" w:name="tab:exponents"/>
    <w:p>
      <w:pPr>
        <w:pStyle w:val="TableCaption"/>
      </w:pPr>
      <w:r>
        <w:t xml:space="preserve">Absolute failure rate per scored position at the smallest and largest</w:t>
      </w:r>
      <w:r>
        <w:t xml:space="preserve"> </w:t>
      </w:r>
      <w:r>
        <w:t xml:space="preserve">rung, mean over seeds, and the size exponent with its rung-resampled 95%</w:t>
      </w:r>
      <w:r>
        <w:t xml:space="preserve"> </w:t>
      </w:r>
      <w:r>
        <w:t xml:space="preserve">interval. Classes are ordered by how local the rule deciding them is. The last row</w:t>
      </w:r>
      <w:r>
        <w:t xml:space="preserve"> </w:t>
      </w:r>
      <w:r>
        <w:t xml:space="preserve">is a cross-cutting flag computed with a probe (Section </w:t>
      </w:r>
      <w:hyperlink w:anchor="sec:mech">
        <w:r>
          <w:rPr>
            <w:rStyle w:val="Hyperlink"/>
          </w:rPr>
          <w:t xml:space="preserve">6</w:t>
        </w:r>
      </w:hyperlink>
      <w:r>
        <w:t xml:space="preserve">), not a sixth</w:t>
      </w:r>
      <w:r>
        <w:t xml:space="preserve"> </w:t>
      </w:r>
      <w:r>
        <w:t xml:space="preserve">disjoint class, and must not be summed with the others.</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Classes are ordered by how local the rule deciding them is. The last row is a cross-cutting flag computed with a probe (Section 6), not a sixth disjoint class, and must not be summed with the others."/>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0.0582</w:t>
            </w:r>
          </w:p>
        </w:tc>
        <w:tc>
          <w:tcPr/>
          <w:p>
            <w:pPr>
              <w:pStyle w:val="Compact"/>
              <w:jc w:val="center"/>
            </w:pPr>
            <w:r>
              <w:t xml:space="preserve">0.0145</w:t>
            </w:r>
          </w:p>
        </w:tc>
        <w:tc>
          <w:tcPr/>
          <w:p>
            <w:pPr>
              <w:pStyle w:val="Compact"/>
              <w:jc w:val="center"/>
            </w:pPr>
            <w:r>
              <w:t xml:space="preserve">4.01</w:t>
            </w:r>
          </w:p>
        </w:tc>
        <w:tc>
          <w:tcPr/>
          <w:p>
            <w:pPr>
              <w:pStyle w:val="Compact"/>
              <w:jc w:val="center"/>
            </w:pPr>
            <m:oMath>
              <m:r>
                <m:rPr>
                  <m:sty m:val="p"/>
                </m:rPr>
                <m:t>−</m:t>
              </m:r>
            </m:oMath>
            <w:r>
              <w:t xml:space="preserve">0.574 [</w:t>
            </w:r>
            <m:oMath>
              <m:r>
                <m:rPr>
                  <m:sty m:val="p"/>
                </m:rPr>
                <m:t>−</m:t>
              </m:r>
            </m:oMath>
            <w:r>
              <w:t xml:space="preserve">0.748,</w:t>
            </w:r>
            <w:r>
              <w:t xml:space="preserve"> </w:t>
            </w:r>
            <m:oMath>
              <m:r>
                <m:rPr>
                  <m:sty m:val="p"/>
                </m:rPr>
                <m:t>−</m:t>
              </m:r>
            </m:oMath>
            <w:r>
              <w:t xml:space="preserve">0.331]</w:t>
            </w:r>
          </w:p>
        </w:tc>
      </w:tr>
      <w:tr>
        <w:tc>
          <w:tcPr/>
          <w:p>
            <w:pPr>
              <w:pStyle w:val="Compact"/>
              <w:jc w:val="left"/>
            </w:pPr>
            <w:r>
              <w:t xml:space="preserve">own destination</w:t>
            </w:r>
          </w:p>
        </w:tc>
        <w:tc>
          <w:tcPr/>
          <w:p>
            <w:pPr>
              <w:pStyle w:val="Compact"/>
              <w:jc w:val="center"/>
            </w:pPr>
            <w:r>
              <w:t xml:space="preserve">0.0357</w:t>
            </w:r>
          </w:p>
        </w:tc>
        <w:tc>
          <w:tcPr/>
          <w:p>
            <w:pPr>
              <w:pStyle w:val="Compact"/>
              <w:jc w:val="center"/>
            </w:pPr>
            <w:r>
              <w:t xml:space="preserve">0.0112</w:t>
            </w:r>
          </w:p>
        </w:tc>
        <w:tc>
          <w:tcPr/>
          <w:p>
            <w:pPr>
              <w:pStyle w:val="Compact"/>
              <w:jc w:val="center"/>
            </w:pPr>
            <w:r>
              <w:t xml:space="preserve">3.19</w:t>
            </w:r>
          </w:p>
        </w:tc>
        <w:tc>
          <w:tcPr/>
          <w:p>
            <w:pPr>
              <w:pStyle w:val="Compact"/>
              <w:jc w:val="center"/>
            </w:pPr>
            <m:oMath>
              <m:r>
                <m:rPr>
                  <m:sty m:val="p"/>
                </m:rPr>
                <m:t>−</m:t>
              </m:r>
            </m:oMath>
            <w:r>
              <w:t xml:space="preserve">0.474 [</w:t>
            </w:r>
            <m:oMath>
              <m:r>
                <m:rPr>
                  <m:sty m:val="p"/>
                </m:rPr>
                <m:t>−</m:t>
              </m:r>
            </m:oMath>
            <w:r>
              <w:t xml:space="preserve">0.492,</w:t>
            </w:r>
            <w:r>
              <w:t xml:space="preserve"> </w:t>
            </w:r>
            <m:oMath>
              <m:r>
                <m:rPr>
                  <m:sty m:val="p"/>
                </m:rPr>
                <m:t>−</m:t>
              </m:r>
            </m:oMath>
            <w:r>
              <w:t xml:space="preserve">0.452]</w:t>
            </w:r>
          </w:p>
        </w:tc>
      </w:tr>
      <w:tr>
        <w:tc>
          <w:tcPr/>
          <w:p>
            <w:pPr>
              <w:pStyle w:val="Compact"/>
              <w:jc w:val="left"/>
            </w:pPr>
            <w:r>
              <w:t xml:space="preserve">opponent source</w:t>
            </w:r>
          </w:p>
        </w:tc>
        <w:tc>
          <w:tcPr/>
          <w:p>
            <w:pPr>
              <w:pStyle w:val="Compact"/>
              <w:jc w:val="center"/>
            </w:pPr>
            <w:r>
              <w:t xml:space="preserve">0.0093</w:t>
            </w:r>
          </w:p>
        </w:tc>
        <w:tc>
          <w:tcPr/>
          <w:p>
            <w:pPr>
              <w:pStyle w:val="Compact"/>
              <w:jc w:val="center"/>
            </w:pPr>
            <w:r>
              <w:t xml:space="preserve">0.0030</w:t>
            </w:r>
          </w:p>
        </w:tc>
        <w:tc>
          <w:tcPr/>
          <w:p>
            <w:pPr>
              <w:pStyle w:val="Compact"/>
              <w:jc w:val="center"/>
            </w:pPr>
            <w:r>
              <w:t xml:space="preserve">3.05</w:t>
            </w:r>
          </w:p>
        </w:tc>
        <w:tc>
          <w:tcPr/>
          <w:p>
            <w:pPr>
              <w:pStyle w:val="Compact"/>
              <w:jc w:val="center"/>
            </w:pPr>
            <m:oMath>
              <m:r>
                <m:rPr>
                  <m:sty m:val="p"/>
                </m:rPr>
                <m:t>−</m:t>
              </m:r>
            </m:oMath>
            <w:r>
              <w:t xml:space="preserve">0.437 [</w:t>
            </w:r>
            <m:oMath>
              <m:r>
                <m:rPr>
                  <m:sty m:val="p"/>
                </m:rPr>
                <m:t>−</m:t>
              </m:r>
            </m:oMath>
            <w:r>
              <w:t xml:space="preserve">0.586,</w:t>
            </w:r>
            <w:r>
              <w:t xml:space="preserve"> </w:t>
            </w:r>
            <m:oMath>
              <m:r>
                <m:rPr>
                  <m:sty m:val="p"/>
                </m:rPr>
                <m:t>−</m:t>
              </m:r>
            </m:oMath>
            <w:r>
              <w:t xml:space="preserve">0.255]</w:t>
            </w:r>
          </w:p>
        </w:tc>
      </w:tr>
      <w:tr>
        <w:tc>
          <w:tcPr/>
          <w:p>
            <w:pPr>
              <w:pStyle w:val="Compact"/>
              <w:jc w:val="left"/>
            </w:pPr>
            <w:r>
              <w:t xml:space="preserve">geometry</w:t>
            </w:r>
          </w:p>
        </w:tc>
        <w:tc>
          <w:tcPr/>
          <w:p>
            <w:pPr>
              <w:pStyle w:val="Compact"/>
              <w:jc w:val="center"/>
            </w:pPr>
            <w:r>
              <w:t xml:space="preserve">0.0721</w:t>
            </w:r>
          </w:p>
        </w:tc>
        <w:tc>
          <w:tcPr/>
          <w:p>
            <w:pPr>
              <w:pStyle w:val="Compact"/>
              <w:jc w:val="center"/>
            </w:pPr>
            <w:r>
              <w:t xml:space="preserve">0.0443</w:t>
            </w:r>
          </w:p>
        </w:tc>
        <w:tc>
          <w:tcPr/>
          <w:p>
            <w:pPr>
              <w:pStyle w:val="Compact"/>
              <w:jc w:val="center"/>
            </w:pPr>
            <w:r>
              <w:t xml:space="preserve">1.63</w:t>
            </w:r>
          </w:p>
        </w:tc>
        <w:tc>
          <w:tcPr/>
          <w:p>
            <w:pPr>
              <w:pStyle w:val="Compact"/>
              <w:jc w:val="center"/>
            </w:pPr>
            <m:oMath>
              <m:r>
                <m:rPr>
                  <m:sty m:val="p"/>
                </m:rPr>
                <m:t>−</m:t>
              </m:r>
            </m:oMath>
            <w:r>
              <w:t xml:space="preserve">0.207 [</w:t>
            </w:r>
            <m:oMath>
              <m:r>
                <m:rPr>
                  <m:sty m:val="p"/>
                </m:rPr>
                <m:t>−</m:t>
              </m:r>
            </m:oMath>
            <w:r>
              <w:t xml:space="preserve">0.287,</w:t>
            </w:r>
            <w:r>
              <w:t xml:space="preserve"> </w:t>
            </w:r>
            <m:oMath>
              <m:r>
                <m:rPr>
                  <m:sty m:val="p"/>
                </m:rPr>
                <m:t>−</m:t>
              </m:r>
            </m:oMath>
            <w:r>
              <w:t xml:space="preserve">0.150]</w:t>
            </w:r>
          </w:p>
        </w:tc>
      </w:tr>
      <w:tr>
        <w:tc>
          <w:tcPr/>
          <w:p>
            <w:pPr>
              <w:pStyle w:val="Compact"/>
              <w:jc w:val="left"/>
            </w:pPr>
            <w:r>
              <w:t xml:space="preserve">leaves check</w:t>
            </w:r>
          </w:p>
        </w:tc>
        <w:tc>
          <w:tcPr/>
          <w:p>
            <w:pPr>
              <w:pStyle w:val="Compact"/>
              <w:jc w:val="center"/>
            </w:pPr>
            <w:r>
              <w:t xml:space="preserve">0.0776</w:t>
            </w:r>
          </w:p>
        </w:tc>
        <w:tc>
          <w:tcPr/>
          <w:p>
            <w:pPr>
              <w:pStyle w:val="Compact"/>
              <w:jc w:val="center"/>
            </w:pPr>
            <w:r>
              <w:t xml:space="preserve">0.0593</w:t>
            </w:r>
          </w:p>
        </w:tc>
        <w:tc>
          <w:tcPr/>
          <w:p>
            <w:pPr>
              <w:pStyle w:val="Compact"/>
              <w:jc w:val="center"/>
            </w:pPr>
            <w:r>
              <w:t xml:space="preserve">1.31</w:t>
            </w:r>
          </w:p>
        </w:tc>
        <w:tc>
          <w:tcPr/>
          <w:p>
            <w:pPr>
              <w:pStyle w:val="Compact"/>
              <w:jc w:val="center"/>
            </w:pPr>
            <m:oMath>
              <m:r>
                <m:rPr>
                  <m:sty m:val="p"/>
                </m:rPr>
                <m:t>−</m:t>
              </m:r>
            </m:oMath>
            <w:r>
              <w:t xml:space="preserve">0.112 [</w:t>
            </w:r>
            <m:oMath>
              <m:r>
                <m:rPr>
                  <m:sty m:val="p"/>
                </m:rPr>
                <m:t>−</m:t>
              </m:r>
            </m:oMath>
            <w:r>
              <w:t xml:space="preserve">0.153,</w:t>
            </w:r>
            <w:r>
              <w:t xml:space="preserve"> </w:t>
            </w:r>
            <m:oMath>
              <m:r>
                <m:rPr>
                  <m:sty m:val="p"/>
                </m:rPr>
                <m:t>−</m:t>
              </m:r>
            </m:oMath>
            <w:r>
              <w:t xml:space="preserve">0.066]</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1.91</w:t>
            </w:r>
          </w:p>
        </w:tc>
        <w:tc>
          <w:tcPr/>
          <w:p>
            <w:pPr>
              <w:pStyle w:val="Compact"/>
              <w:jc w:val="center"/>
            </w:pPr>
            <m:oMath>
              <m:r>
                <m:rPr>
                  <m:sty m:val="p"/>
                </m:rPr>
                <m:t>−</m:t>
              </m:r>
            </m:oMath>
            <w:r>
              <w:t xml:space="preserve">0.267 [</w:t>
            </w:r>
            <m:oMath>
              <m:r>
                <m:rPr>
                  <m:sty m:val="p"/>
                </m:rPr>
                <m:t>−</m:t>
              </m:r>
            </m:oMath>
            <w:r>
              <w:t xml:space="preserve">0.307,</w:t>
            </w:r>
            <w:r>
              <w:t xml:space="preserve"> </w:t>
            </w:r>
            <m:oMath>
              <m:r>
                <m:rPr>
                  <m:sty m:val="p"/>
                </m:rPr>
                <m:t>−</m:t>
              </m:r>
            </m:oMath>
            <w:r>
              <w:t xml:space="preserve">0.216]</w:t>
            </w:r>
          </w:p>
        </w:tc>
      </w:tr>
      <w:tr>
        <w:tc>
          <w:tcPr/>
          <w:p>
            <w:pPr>
              <w:pStyle w:val="Compact"/>
              <w:jc w:val="left"/>
            </w:pPr>
            <w:r>
              <w:rPr>
                <w:i/>
                <w:iCs/>
              </w:rPr>
              <w:t xml:space="preserve">despite correct local belief</w:t>
            </w:r>
          </w:p>
        </w:tc>
        <w:tc>
          <w:tcPr/>
          <w:p>
            <w:pPr>
              <w:pStyle w:val="Compact"/>
              <w:jc w:val="center"/>
            </w:pPr>
            <w:r>
              <w:t xml:space="preserve">0.0388</w:t>
            </w:r>
          </w:p>
        </w:tc>
        <w:tc>
          <w:tcPr/>
          <w:p>
            <w:pPr>
              <w:pStyle w:val="Compact"/>
              <w:jc w:val="center"/>
            </w:pPr>
            <w:r>
              <w:t xml:space="preserve">0.0404</w:t>
            </w:r>
          </w:p>
        </w:tc>
        <w:tc>
          <w:tcPr/>
          <w:p>
            <w:pPr>
              <w:pStyle w:val="Compact"/>
              <w:jc w:val="center"/>
            </w:pPr>
            <w:r>
              <w:t xml:space="preserve">0.96</w:t>
            </w:r>
          </w:p>
        </w:tc>
        <w:tc>
          <w:tcPr/>
          <w:p>
            <w:pPr>
              <w:pStyle w:val="Compact"/>
              <w:jc w:val="center"/>
            </w:pPr>
            <w:r>
              <w:t xml:space="preserve">+0.023 [</w:t>
            </w:r>
            <m:oMath>
              <m:r>
                <m:rPr>
                  <m:sty m:val="p"/>
                </m:rPr>
                <m:t>−</m:t>
              </m:r>
            </m:oMath>
            <w:r>
              <w:t xml:space="preserve">0.005, +0.066]</w:t>
            </w:r>
          </w:p>
        </w:tc>
      </w:tr>
    </w:tbl>
    <w:bookmarkEnd w:id="22"/>
    <w:bookmarkStart w:id="26" w:name="fig:scaling"/>
    <w:p>
      <w:pPr>
        <w:pStyle w:val="CaptionedFigure"/>
      </w:pPr>
      <w:r>
        <w:drawing>
          <wp:inline>
            <wp:extent cx="5334000" cy="1981200"/>
            <wp:effectExtent b="0" l="0" r="0" t="0"/>
            <wp:docPr descr="" title="" id="24" name="Picture"/>
            <a:graphic>
              <a:graphicData uri="http://schemas.openxmlformats.org/drawingml/2006/picture">
                <pic:pic>
                  <pic:nvPicPr>
                    <pic:cNvPr descr="scaling.png" id="25" name="Picture"/>
                    <pic:cNvPicPr>
                      <a:picLocks noChangeArrowheads="1" noChangeAspect="1"/>
                    </pic:cNvPicPr>
                  </pic:nvPicPr>
                  <pic:blipFill>
                    <a:blip r:embed="rId23"/>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5</w:t>
        </w:r>
      </w:hyperlink>
      <w:r>
        <w:t xml:space="preserve">); each point is one checkpoint. In both, the local</w:t>
      </w:r>
      <w:r>
        <w:t xml:space="preserve"> </w:t>
      </w:r>
      <w:r>
        <w:t xml:space="preserve">class falls faster than the global one.</w:t>
      </w:r>
    </w:p>
    <w:bookmarkEnd w:id="26"/>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exponents order</w:t>
      </w:r>
      <w:r>
        <w:t xml:space="preserve"> </w:t>
      </w:r>
      <w:r>
        <w:t xml:space="preserve">themselves by how local the rule is. Empty-source errors fall with exponent</w:t>
      </w:r>
      <w:r>
        <w:t xml:space="preserve"> </w:t>
      </w:r>
      <m:oMath>
        <m:r>
          <m:rPr>
            <m:sty m:val="p"/>
          </m:rPr>
          <m:t>−</m:t>
        </m:r>
      </m:oMath>
      <w:r>
        <w:t xml:space="preserve">0.574; geometry, which depends on the squares between source and</w:t>
      </w:r>
      <w:r>
        <w:t xml:space="preserve"> </w:t>
      </w:r>
      <w:r>
        <w:t xml:space="preserve">destination, with</w:t>
      </w:r>
      <w:r>
        <w:t xml:space="preserve"> </w:t>
      </w:r>
      <m:oMath>
        <m:r>
          <m:rPr>
            <m:sty m:val="p"/>
          </m:rPr>
          <m:t>−</m:t>
        </m:r>
      </m:oMath>
      <w:r>
        <w:t xml:space="preserve">0.207; and check violations, which depend on</w:t>
      </w:r>
      <w:r>
        <w:t xml:space="preserve"> </w:t>
      </w:r>
      <w:r>
        <w:t xml:space="preserve">every attacker’s position, with</w:t>
      </w:r>
      <w:r>
        <w:t xml:space="preserve"> </w:t>
      </w:r>
      <m:oMath>
        <m:r>
          <m:rPr>
            <m:sty m:val="p"/>
          </m:rPr>
          <m:t>−</m:t>
        </m:r>
      </m:oMath>
      <w:r>
        <w:t xml:space="preserve">0.112. The paired differential</w:t>
      </w:r>
      <w:r>
        <w:t xml:space="preserve"> </w:t>
      </w:r>
      <w:r>
        <w:t xml:space="preserve">between the check and empty-source exponents is +0.461</w:t>
      </w:r>
      <w:r>
        <w:t xml:space="preserve"> </w:t>
      </w:r>
      <w:r>
        <w:t xml:space="preserve">[+0.259, +0.599], positive in</w:t>
      </w:r>
      <w:r>
        <w:t xml:space="preserve"> </w:t>
      </w:r>
      <w:r>
        <w:t xml:space="preserve">100% of rung resamples.</w:t>
      </w:r>
    </w:p>
    <w:p>
      <w:pPr>
        <w:pStyle w:val="BodyText"/>
      </w:pPr>
      <w:r>
        <w:t xml:space="preserve">This is a claim about composition, and composition shifts accordingly. The</w:t>
      </w:r>
      <w:r>
        <w:t xml:space="preserve"> </w:t>
      </w:r>
      <w:r>
        <w:t xml:space="preserve">empty-source share of illegal moves falls from 0.230 to</w:t>
      </w:r>
      <w:r>
        <w:t xml:space="preserve"> </w:t>
      </w:r>
      <w:r>
        <w:t xml:space="preserve">0.110 while the check share rises from</w:t>
      </w:r>
      <w:r>
        <w:t xml:space="preserve"> </w:t>
      </w:r>
      <w:r>
        <w:t xml:space="preserve">0.307 to 0.448; geometry moves only from</w:t>
      </w:r>
      <w:r>
        <w:t xml:space="preserve"> </w:t>
      </w:r>
      <w:r>
        <w:t xml:space="preserve">0.285 to 0.335.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0.260 to 0.519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27" w:name="an-illustrative-extrapolation."/>
    <w:p>
      <w:pPr>
        <w:pStyle w:val="Heading4"/>
      </w:pPr>
      <w:r>
        <w:t xml:space="preserve">An illustrative extrapolation.</w:t>
      </w:r>
    </w:p>
    <w:p>
      <w:pPr>
        <w:pStyle w:val="FirstParagraph"/>
      </w:pPr>
      <w:r>
        <w:t xml:space="preserve">Extending the fitted lines 25-fold beyond our largest model, to</w:t>
      </w:r>
      <w:r>
        <w:t xml:space="preserve"> </w:t>
      </w:r>
      <w:r>
        <w:t xml:space="preserve">one billion parameters, gives check violations at 0.0413 per position</w:t>
      </w:r>
      <w:r>
        <w:t xml:space="preserve"> </w:t>
      </w:r>
      <w:r>
        <w:t xml:space="preserve">against empty-source errors at 0.0023, and failures despite</w:t>
      </w:r>
      <w:r>
        <w:t xml:space="preserve"> </w:t>
      </w:r>
      <w:r>
        <w:t xml:space="preserve">correct local belief at 0.0435. This is far outside the fitted range and</w:t>
      </w:r>
      <w:r>
        <w:t xml:space="preserve"> </w:t>
      </w:r>
      <w:r>
        <w:t xml:space="preserve">we offer it only to show what the exponents imply if they held: the category that</w:t>
      </w:r>
      <w:r>
        <w:t xml:space="preserve"> </w:t>
      </w:r>
      <w:r>
        <w:t xml:space="preserve">scale does not remove would become the largest.</w:t>
      </w:r>
    </w:p>
    <w:bookmarkEnd w:id="27"/>
    <w:bookmarkEnd w:id="28"/>
    <w:bookmarkStart w:id="34" w:name="sec:external"/>
    <w:p>
      <w:pPr>
        <w:pStyle w:val="Heading1"/>
      </w:pPr>
      <w:r>
        <w:t xml:space="preserve">External Validity</w:t>
      </w:r>
    </w:p>
    <w:bookmarkStart w:id="30"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converted and verified by legal play before any measurement, and read the model’s</w:t>
      </w:r>
      <w:r>
        <w:t xml:space="preserve"> </w:t>
      </w:r>
      <w:r>
        <w:t xml:space="preserve">move by greedy character decoding at verified move boundaries.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+0.461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29" w:name="tab:external"/>
    <w:p>
      <w:pPr>
        <w:pStyle w:val="TableCaption"/>
      </w:pPr>
      <w:r>
        <w:t xml:space="preserve">Independent ladder. Absolute rates per scored position. With three</w:t>
      </w:r>
      <w:r>
        <w:t xml:space="preserve"> </w:t>
      </w:r>
      <w:r>
        <w:t xml:space="preserve">checkpoints no uncertainty in the fit itself can be estimated; the intervals</w:t>
      </w:r>
      <w:r>
        <w:t xml:space="preserve"> </w:t>
      </w:r>
      <w:r>
        <w:t xml:space="preserve">propagate only each checkpoint’s sampling noise in class shares and should be read</w:t>
      </w:r>
      <w:r>
        <w:t xml:space="preserve"> </w:t>
      </w:r>
      <w:r>
        <w:t xml:space="preserve">as a lower bound on uncertainty, not as a confidence statement about the slope.</w:t>
      </w:r>
    </w:p>
    <w:tbl>
      <w:tblPr>
        <w:tblStyle w:val="Table"/>
        <w:tblW w:type="auto" w:w="0"/>
        <w:tblLook w:firstRow="1" w:lastRow="0" w:firstColumn="0" w:lastColumn="0" w:noHBand="0" w:noVBand="0" w:val="0020"/>
        <w:tblCaption w:val="Independent ladder. Absolute rates per scored position. With three checkpoints no uncertainty in the fit itself can be estimated; the intervals propagate only each checkpoint’s sampling noise in class shares and should be read as a lower bound on uncertainty, not as a confidence statement about the slope."/>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29"/>
    <w:bookmarkEnd w:id="30"/>
    <w:bookmarkStart w:id="31"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w:t>
      </w:r>
      <w:r>
        <w:t xml:space="preserve"> </w:t>
      </w:r>
      <w:r>
        <w:t xml:space="preserve">are moves onto an occupied square and 160 are moves that flank</w:t>
      </w:r>
      <w:r>
        <w:t xml:space="preserve"> </w:t>
      </w:r>
      <w:r>
        <w:t xml:space="preserve">nothing.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31"/>
    <w:bookmarkStart w:id="33" w:name="heavy-training."/>
    <w:p>
      <w:pPr>
        <w:pStyle w:val="Heading4"/>
      </w:pPr>
      <w:r>
        <w:t xml:space="preserve">Heavy training.</w:t>
      </w:r>
    </w:p>
    <w:p>
      <w:pPr>
        <w:pStyle w:val="FirstParagraph"/>
      </w:pPr>
      <w:r>
        <w:t xml:space="preserve">The mechanism in Section </w:t>
      </w:r>
      <w:hyperlink w:anchor="sec:mech">
        <w:r>
          <w:rPr>
            <w:rStyle w:val="Hyperlink"/>
          </w:rPr>
          <w:t xml:space="preserve">6</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32"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32"/>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33"/>
    <w:bookmarkEnd w:id="34"/>
    <w:bookmarkStart w:id="39"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w:t>
      </w:r>
      <w:r>
        <w:t xml:space="preserve"> </w:t>
      </w:r>
      <w:r>
        <w:t xml:space="preserve">Rathore et al. (2026)</w:t>
      </w:r>
      <w:r>
        <w:t xml:space="preserve">, point to the same answer.</w:t>
      </w:r>
    </w:p>
    <w:bookmarkStart w:id="35"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which is invariant to uniform flattening</w:t>
      </w:r>
      <w:r>
        <w:t xml:space="preserve"> </w:t>
      </w:r>
      <w:r>
        <w:t xml:space="preserve">of the distribution. Two controls matter.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35"/>
    <w:bookmarkStart w:id="37"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has a capability limit of roughly two squares, whatever the edit magnitude.</w:t>
      </w:r>
    </w:p>
    <w:bookmarkStart w:id="36"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36"/>
    <w:bookmarkEnd w:id="37"/>
    <w:bookmarkStart w:id="38" w:name="what-local-correction-cannot-reach."/>
    <w:p>
      <w:pPr>
        <w:pStyle w:val="Heading4"/>
      </w:pPr>
      <w:r>
        <w:t xml:space="preserve">What local correction cannot reach.</w:t>
      </w:r>
    </w:p>
    <w:p>
      <w:pPr>
        <w:pStyle w:val="FirstParagraph"/>
      </w:pPr>
      <w:r>
        <w:t xml:space="preserve">Where decoded belief is already correct at both squares a move touches, a check</w:t>
      </w:r>
      <w:r>
        <w:t xml:space="preserve"> </w:t>
      </w:r>
      <w:r>
        <w:t xml:space="preserve">violation accounts for 0.477 of failures on average against</w:t>
      </w:r>
      <w:r>
        <w:t xml:space="preserve"> </w:t>
      </w:r>
      <w:r>
        <w:t xml:space="preserve">0.286 for geometry, and is the largest class in</w:t>
      </w:r>
      <w:r>
        <w:t xml:space="preserve"> </w:t>
      </w:r>
      <w:r>
        <w:t xml:space="preserve">15 of 18 models. Such failures cannot be attributed</w:t>
      </w:r>
      <w:r>
        <w:t xml:space="preserve"> </w:t>
      </w:r>
      <w:r>
        <w:t xml:space="preserve">to the decoded belief being wrong at the move’s squares, and a check violation is</w:t>
      </w:r>
      <w:r>
        <w:t xml:space="preserve"> </w:t>
      </w:r>
      <w:r>
        <w:t xml:space="preserve">decided by squares an edit of two cannot address. Their</w:t>
      </w:r>
      <w:r>
        <w:t xml:space="preserve"> </w:t>
      </w:r>
      <w:r>
        <w:t xml:space="preserve">absolute rate is flat with size, exponent +0.023</w:t>
      </w:r>
      <w:r>
        <w:t xml:space="preserve"> </w:t>
      </w:r>
      <w:r>
        <w:t xml:space="preserve">[</w:t>
      </w:r>
      <m:oMath>
        <m:r>
          <m:rPr>
            <m:sty m:val="p"/>
          </m:rPr>
          <m:t>−</m:t>
        </m:r>
      </m:oMath>
      <w:r>
        <w:t xml:space="preserve">0.005, +0.066], a differential against</w:t>
      </w:r>
      <w:r>
        <w:t xml:space="preserve"> </w:t>
      </w:r>
      <w:r>
        <w:t xml:space="preserve">empty-source errors of +0.596 [+0.367, +0.761].</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12</w:t>
        </w:r>
      </w:hyperlink>
      <w:r>
        <w:t xml:space="preserve">). The claim is narrower and</w:t>
      </w:r>
      <w:r>
        <w:t xml:space="preserve"> </w:t>
      </w:r>
      <w:r>
        <w:t xml:space="preserve">sufficient: the component scale leaves behind is concentrated in exactly the</w:t>
      </w:r>
      <w:r>
        <w:t xml:space="preserve"> </w:t>
      </w:r>
      <w:r>
        <w:t xml:space="preserve">failures that correction at the move’s squares cannot address.</w:t>
      </w:r>
    </w:p>
    <w:bookmarkEnd w:id="38"/>
    <w:bookmarkEnd w:id="39"/>
    <w:bookmarkStart w:id="41" w:name="sec:inversion"/>
    <w:p>
      <w:pPr>
        <w:pStyle w:val="Heading1"/>
      </w:pPr>
      <w:r>
        <w:t xml:space="preserve">The Standard Metric Inverts</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Hedging moves</w:t>
      </w:r>
      <w:r>
        <w:t xml:space="preserve"> </w:t>
      </w:r>
      <w:r>
        <w:t xml:space="preserve">probability off a confidently illegal move and onto whatever else is plausible,</w:t>
      </w:r>
      <w:r>
        <w:t xml:space="preserve"> </w:t>
      </w:r>
      <w:r>
        <w:t xml:space="preserve">some of which is legal.</w:t>
      </w:r>
    </w:p>
    <w:bookmarkStart w:id="40"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40"/>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may be measuring hedging.</w:t>
      </w:r>
    </w:p>
    <w:bookmarkEnd w:id="41"/>
    <w:bookmarkStart w:id="42" w:name="discussion"/>
    <w:p>
      <w:pPr>
        <w:pStyle w:val="Heading1"/>
      </w:pPr>
      <w:r>
        <w:t xml:space="preserve">Discussion</w:t>
      </w:r>
    </w:p>
    <w:p>
      <w:pPr>
        <w:pStyle w:val="FirstParagraph"/>
      </w:pPr>
      <w:r>
        <w:t xml:space="preserve">The practical content is about where effort goes. The class that does not fall</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42"/>
    <w:bookmarkStart w:id="43"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11</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End w:id="43"/>
    <w:bookmarkStart w:id="44"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do not decline at all. The measurement needs only a rules engine. What it suggests is that the</w:t>
      </w:r>
      <w:r>
        <w:t xml:space="preserve"> </w:t>
      </w:r>
      <w:r>
        <w:t xml:space="preserve">failures worth studying at scale are the ones defined by global constraints, and</w:t>
      </w:r>
      <w:r>
        <w:t xml:space="preserve"> </w:t>
      </w:r>
      <w:r>
        <w:t xml:space="preserve">that interventions should be judged by their effect on those, measured with a</w:t>
      </w:r>
      <w:r>
        <w:t xml:space="preserve"> </w:t>
      </w:r>
      <w:r>
        <w:t xml:space="preserve">metric a flatter output distribution cannot improve.</w:t>
      </w:r>
    </w:p>
    <w:bookmarkEnd w:id="44"/>
    <w:bookmarkStart w:id="49" w:name="declarations"/>
    <w:p>
      <w:pPr>
        <w:pStyle w:val="Heading1"/>
      </w:pPr>
      <w:r>
        <w:t xml:space="preserve">Declarations</w:t>
      </w:r>
    </w:p>
    <w:bookmarkStart w:id="45" w:name="disclosure-statement."/>
    <w:p>
      <w:pPr>
        <w:pStyle w:val="Heading4"/>
      </w:pPr>
      <w:r>
        <w:t xml:space="preserve">Disclosure statement.</w:t>
      </w:r>
    </w:p>
    <w:p>
      <w:pPr>
        <w:pStyle w:val="FirstParagraph"/>
      </w:pPr>
      <w:r>
        <w:t xml:space="preserve">The authors report no conflict of interest.</w:t>
      </w:r>
    </w:p>
    <w:bookmarkEnd w:id="45"/>
    <w:bookmarkStart w:id="46" w:name="funding."/>
    <w:p>
      <w:pPr>
        <w:pStyle w:val="Heading4"/>
      </w:pPr>
      <w:r>
        <w:t xml:space="preserve">Funding.</w:t>
      </w:r>
    </w:p>
    <w:p>
      <w:pPr>
        <w:pStyle w:val="FirstParagraph"/>
      </w:pPr>
      <w:r>
        <w:t xml:space="preserve">This research received no specific grant from any funding agency in the</w:t>
      </w:r>
      <w:r>
        <w:t xml:space="preserve"> </w:t>
      </w:r>
      <w:r>
        <w:t xml:space="preserve">public, commercial, or not-for-profit sectors.</w:t>
      </w:r>
    </w:p>
    <w:bookmarkEnd w:id="46"/>
    <w:bookmarkStart w:id="47" w:name="data-availability-statement."/>
    <w:p>
      <w:pPr>
        <w:pStyle w:val="Heading4"/>
      </w:pPr>
      <w:r>
        <w:t xml:space="preserve">Data availability statement.</w:t>
      </w:r>
    </w:p>
    <w:p>
      <w:pPr>
        <w:pStyle w:val="FirstParagraph"/>
      </w:pPr>
      <w:r>
        <w:t xml:space="preserve">Trained checkpoints, analysis code, and every result file cited by the manuscript</w:t>
      </w:r>
      <w:r>
        <w:t xml:space="preserve"> </w:t>
      </w:r>
      <w:r>
        <w:t xml:space="preserve">are available from the corresponding author on reasonable request. External</w:t>
      </w:r>
      <w:r>
        <w:t xml:space="preserve"> </w:t>
      </w:r>
      <w:r>
        <w:t xml:space="preserve">checkpoints are public.</w:t>
      </w:r>
    </w:p>
    <w:bookmarkEnd w:id="47"/>
    <w:bookmarkStart w:id="48" w:name="ai-usage-declaration."/>
    <w:p>
      <w:pPr>
        <w:pStyle w:val="Heading4"/>
      </w:pPr>
      <w:r>
        <w:t xml:space="preserve">AI usage declaration.</w:t>
      </w:r>
    </w:p>
    <w:p>
      <w:pPr>
        <w:pStyle w:val="FirstParagraph"/>
      </w:pPr>
      <w:r>
        <w:t xml:space="preserve">During preparation the authors used a generative AI tool to assist with analysis</w:t>
      </w:r>
      <w:r>
        <w:t xml:space="preserve"> </w:t>
      </w:r>
      <w:r>
        <w:t xml:space="preserve">code and language editing. The authors reviewed and edited all output and take full</w:t>
      </w:r>
      <w:r>
        <w:t xml:space="preserve"> </w:t>
      </w:r>
      <w:r>
        <w:t xml:space="preserve">responsibility for the content.</w:t>
      </w:r>
    </w:p>
    <w:bookmarkEnd w:id="48"/>
    <w:bookmarkEnd w:id="49"/>
    <w:bookmarkStart w:id="50"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50"/>
    <w:bookmarkStart w:id="71" w:name="app:integrity"/>
    <w:p>
      <w:pPr>
        <w:pStyle w:val="Heading1"/>
      </w:pPr>
      <w:r>
        <w:t xml:space="preserve">Integrity record</w:t>
      </w:r>
    </w:p>
    <w:p>
      <w:pPr>
        <w:pStyle w:val="FirstParagraph"/>
      </w:pPr>
      <w:r>
        <w:t xml:space="preserve">The analysis was pre-registered (SHA-256 prefix</w:t>
      </w:r>
      <w:r>
        <w:t xml:space="preserve"> </w:t>
      </w:r>
      <w:r>
        <w:rPr>
          <w:rStyle w:val="VerbatimChar"/>
        </w:rPr>
        <w:t xml:space="preserve">28b68e5200dc0dba</w:t>
      </w:r>
      <w:r>
        <w:t xml:space="preserve">).</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6</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Start w:id="70" w:name="refs"/>
    <w:bookmarkStart w:id="51"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51"/>
    <w:bookmarkStart w:id="52"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52"/>
    <w:bookmarkStart w:id="53"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53"/>
    <w:bookmarkStart w:id="54"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54"/>
    <w:bookmarkStart w:id="55"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55"/>
    <w:bookmarkStart w:id="56"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56"/>
    <w:bookmarkStart w:id="57"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57"/>
    <w:bookmarkStart w:id="58"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58"/>
    <w:bookmarkStart w:id="59"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59"/>
    <w:bookmarkStart w:id="60"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60"/>
    <w:bookmarkStart w:id="62"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61">
        <w:r>
          <w:rPr>
            <w:rStyle w:val="Hyperlink"/>
          </w:rPr>
          <w:t xml:space="preserve">https://doi.org/10.18653/v1/2023.blackboxnlp-1.2</w:t>
        </w:r>
      </w:hyperlink>
      <w:r>
        <w:t xml:space="preserve">.</w:t>
      </w:r>
    </w:p>
    <w:bookmarkEnd w:id="62"/>
    <w:bookmarkStart w:id="63"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63"/>
    <w:bookmarkStart w:id="64" w:name="ref-rathore2026coherent"/>
    <w:p>
      <w:pPr>
        <w:pStyle w:val="Bibliography"/>
      </w:pPr>
      <w:r>
        <w:t xml:space="preserve">Rathore, Mohit Pratap Singh, Gunveer Sinh Kalsi, and Sriharsha Meduri. 2026.</w:t>
      </w:r>
      <w:r>
        <w:t xml:space="preserve"> </w:t>
      </w:r>
      <w:r>
        <w:t xml:space="preserve">“Coherent Errors: Chess Transformers Act on Misremembered Boards.”</w:t>
      </w:r>
      <w:r>
        <w:t xml:space="preserve"> </w:t>
      </w:r>
      <w:r>
        <w:rPr>
          <w:i/>
          <w:iCs/>
        </w:rPr>
        <w:t xml:space="preserve">Manuscript Under Review</w:t>
      </w:r>
      <w:r>
        <w:t xml:space="preserve">.</w:t>
      </w:r>
    </w:p>
    <w:bookmarkEnd w:id="64"/>
    <w:bookmarkStart w:id="66"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65">
        <w:r>
          <w:rPr>
            <w:rStyle w:val="Hyperlink"/>
          </w:rPr>
          <w:t xml:space="preserve">https://doi.org/10.1609/aaai.v36i10.21390</w:t>
        </w:r>
      </w:hyperlink>
      <w:r>
        <w:t xml:space="preserve">.</w:t>
      </w:r>
    </w:p>
    <w:bookmarkEnd w:id="66"/>
    <w:bookmarkStart w:id="67"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67"/>
    <w:bookmarkStart w:id="68"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68"/>
    <w:bookmarkStart w:id="69"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hyperlink" Id="rId65" Target="https://doi.org/10.1609/aaai.v36i10.21390" TargetMode="External" /><Relationship Type="http://schemas.openxmlformats.org/officeDocument/2006/relationships/hyperlink" Id="rId61"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65" Target="https://doi.org/10.1609/aaai.v36i10.21390" TargetMode="External" /><Relationship Type="http://schemas.openxmlformats.org/officeDocument/2006/relationships/hyperlink" Id="rId61"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Mohit Pratap Singh Rathore Oviqo Private Limited; Gunveer Sinh Kalsi Oviqo Private Limited; Sriharsha Meduri Oviqo Private Limited</dc:creator>
  <cp:keywords/>
  <dcterms:created xsi:type="dcterms:W3CDTF">2026-09-13T07:01:26Z</dcterms:created>
  <dcterms:modified xsi:type="dcterms:W3CDTF">2026-09-13T07:01:26Z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make long-horizon errors, but it is rarely asked which errors it removes. We classify every illegal move made by search-free chess transformers by what made it illegal, using only a rules engine, and measure how the absolute rate of each class falls with model size. Across 18 models spanning 3.4M to 39.9M parameters, errors decidable from the move’s own squares fall with exponent -0.574, while moves illegal only because they leave the king in check fall with exponent -0.112: a paired differential of +0.461 [+0.259, +0.599]. Failures that occur despite correct internal belief about the move’s squares do not fall at all, exponent +0.023. The ordering replicates on an independent character-level ladder spanning a 38-fold parameter range, and in OthelloGPT every residual failure is of the non-local kind. A causal account follows: belief is coupled to action locally, a repair edit can correct about two squares, and the class that scale leaves behind is the class local correction cannot reach. The standard intervention metric inverts on the same data. Illegal move rate ranks a norm-matched random edit above correct repair in 18 of 18 models, because hedging lowers it.</vt:lpwstr>
  </property>
  <property fmtid="{D5CDD505-2E9C-101B-9397-08002B2CF9AE}" pid="3" name="bibliography">
    <vt:lpwstr/>
  </property>
  <property fmtid="{D5CDD505-2E9C-101B-9397-08002B2CF9AE}" pid="4" name="date">
    <vt:lpwstr/>
  </property>
  <property fmtid="{D5CDD505-2E9C-101B-9397-08002B2CF9AE}" pid="5" name="nocite">
    <vt:lpwstr/>
  </property>
</Properties>
</file>