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1"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9</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Geometry</w:t>
      </w:r>
      <w:r>
        <w:t xml:space="preserve"> </w:t>
      </w:r>
      <w:r>
        <w:t xml:space="preserve">depends on intervening squares, and check on the positions of every attacker.</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8"/>
    <w:bookmarkStart w:id="19"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19"/>
    <w:bookmarkStart w:id="20"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0"/>
    <w:bookmarkEnd w:id="21"/>
    <w:bookmarkStart w:id="28" w:name="sec:scaling"/>
    <w:p>
      <w:pPr>
        <w:pStyle w:val="Heading1"/>
      </w:pPr>
      <w:r>
        <w:t xml:space="preserve">Differential Scaling</w:t>
      </w:r>
    </w:p>
    <w:bookmarkStart w:id="22"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2"/>
    <w:bookmarkStart w:id="26" w:name="fig:scaling"/>
    <w:p>
      <w:pPr>
        <w:pStyle w:val="CaptionedFigure"/>
      </w:pPr>
      <w:r>
        <w:drawing>
          <wp:inline>
            <wp:extent cx="5334000" cy="1981200"/>
            <wp:effectExtent b="0" l="0" r="0" t="0"/>
            <wp:docPr descr="" title="" id="24" name="Picture"/>
            <a:graphic>
              <a:graphicData uri="http://schemas.openxmlformats.org/drawingml/2006/picture">
                <pic:pic>
                  <pic:nvPicPr>
                    <pic:cNvPr descr="scaling.png" id="25" name="Picture"/>
                    <pic:cNvPicPr>
                      <a:picLocks noChangeArrowheads="1" noChangeAspect="1"/>
                    </pic:cNvPicPr>
                  </pic:nvPicPr>
                  <pic:blipFill>
                    <a:blip r:embed="rId23"/>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6"/>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7" w:name="an-illustrative-extrapolation."/>
    <w:p>
      <w:pPr>
        <w:pStyle w:val="Heading4"/>
      </w:pPr>
      <w:r>
        <w:t xml:space="preserve">An illustrative extrapolation.</w:t>
      </w:r>
    </w:p>
    <w:p>
      <w:pPr>
        <w:pStyle w:val="FirstParagraph"/>
      </w:pPr>
      <w:r>
        <w:t xml:space="preserve">Extending the fitted lines 25-fold beyond our largest model, to</w:t>
      </w:r>
      <w:r>
        <w:t xml:space="preserve"> </w:t>
      </w:r>
      <w:r>
        <w:t xml:space="preserve">one billion parameters, gives check violations at 0.0413 per position</w:t>
      </w:r>
      <w:r>
        <w:t xml:space="preserve"> </w:t>
      </w:r>
      <w:r>
        <w:t xml:space="preserve">against empty-source errors at 0.0023, and failures despite</w:t>
      </w:r>
      <w:r>
        <w:t xml:space="preserve"> </w:t>
      </w:r>
      <w:r>
        <w:t xml:space="preserve">correct local belief at 0.0435. This is far outside the fitted range and</w:t>
      </w:r>
      <w:r>
        <w:t xml:space="preserve"> </w:t>
      </w:r>
      <w:r>
        <w:t xml:space="preserve">we offer it only to show what the exponents imply if they held: the category that</w:t>
      </w:r>
      <w:r>
        <w:t xml:space="preserve"> </w:t>
      </w:r>
      <w:r>
        <w:t xml:space="preserve">scale does not remove would become the largest.</w:t>
      </w:r>
    </w:p>
    <w:bookmarkEnd w:id="27"/>
    <w:bookmarkEnd w:id="28"/>
    <w:bookmarkStart w:id="34" w:name="sec:external"/>
    <w:p>
      <w:pPr>
        <w:pStyle w:val="Heading1"/>
      </w:pPr>
      <w:r>
        <w:t xml:space="preserve">External Validity</w:t>
      </w:r>
    </w:p>
    <w:bookmarkStart w:id="30"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converted and verified by legal play before any measurement, and read the model’s</w:t>
      </w:r>
      <w:r>
        <w:t xml:space="preserve"> </w:t>
      </w:r>
      <w:r>
        <w:t xml:space="preserve">move by greedy character decoding at verified move boundaries.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29"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29"/>
    <w:bookmarkEnd w:id="30"/>
    <w:bookmarkStart w:id="31"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1"/>
    <w:bookmarkStart w:id="33"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2"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2"/>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3"/>
    <w:bookmarkEnd w:id="34"/>
    <w:bookmarkStart w:id="39"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35"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35"/>
    <w:bookmarkStart w:id="37"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36"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36"/>
    <w:bookmarkEnd w:id="37"/>
    <w:bookmarkStart w:id="38"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12</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38"/>
    <w:bookmarkEnd w:id="39"/>
    <w:bookmarkStart w:id="41"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0"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0"/>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1"/>
    <w:bookmarkStart w:id="42"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2"/>
    <w:bookmarkStart w:id="43"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11</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43"/>
    <w:bookmarkStart w:id="44"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44"/>
    <w:bookmarkStart w:id="49" w:name="declarations"/>
    <w:p>
      <w:pPr>
        <w:pStyle w:val="Heading1"/>
      </w:pPr>
      <w:r>
        <w:t xml:space="preserve">Declarations</w:t>
      </w:r>
    </w:p>
    <w:bookmarkStart w:id="45" w:name="disclosure-statement."/>
    <w:p>
      <w:pPr>
        <w:pStyle w:val="Heading4"/>
      </w:pPr>
      <w:r>
        <w:t xml:space="preserve">Disclosure statement.</w:t>
      </w:r>
    </w:p>
    <w:p>
      <w:pPr>
        <w:pStyle w:val="FirstParagraph"/>
      </w:pPr>
      <w:r>
        <w:t xml:space="preserve">Removed for double-anonymous peer review.</w:t>
      </w:r>
    </w:p>
    <w:bookmarkEnd w:id="45"/>
    <w:bookmarkStart w:id="46" w:name="funding."/>
    <w:p>
      <w:pPr>
        <w:pStyle w:val="Heading4"/>
      </w:pPr>
      <w:r>
        <w:t xml:space="preserve">Funding.</w:t>
      </w:r>
    </w:p>
    <w:p>
      <w:pPr>
        <w:pStyle w:val="FirstParagraph"/>
      </w:pPr>
      <w:r>
        <w:t xml:space="preserve">Removed for double-anonymous peer review.</w:t>
      </w:r>
    </w:p>
    <w:bookmarkEnd w:id="46"/>
    <w:bookmarkStart w:id="47" w:name="data-availability-statement."/>
    <w:p>
      <w:pPr>
        <w:pStyle w:val="Heading4"/>
      </w:pPr>
      <w:r>
        <w:t xml:space="preserve">Data availability statement.</w:t>
      </w:r>
    </w:p>
    <w:p>
      <w:pPr>
        <w:pStyle w:val="FirstParagraph"/>
      </w:pPr>
      <w:r>
        <w:t xml:space="preserve">Trained checkpoints, analysis code, and every result file cited by the manuscript</w:t>
      </w:r>
      <w:r>
        <w:t xml:space="preserve"> </w:t>
      </w:r>
      <w:r>
        <w:t xml:space="preserve">are available from the corresponding author on reasonable request. External</w:t>
      </w:r>
      <w:r>
        <w:t xml:space="preserve"> </w:t>
      </w:r>
      <w:r>
        <w:t xml:space="preserve">checkpoints are public.</w:t>
      </w:r>
    </w:p>
    <w:bookmarkEnd w:id="47"/>
    <w:bookmarkStart w:id="48" w:name="ai-usage-declaration."/>
    <w:p>
      <w:pPr>
        <w:pStyle w:val="Heading4"/>
      </w:pPr>
      <w:r>
        <w:t xml:space="preserve">AI usage declaration.</w:t>
      </w:r>
    </w:p>
    <w:p>
      <w:pPr>
        <w:pStyle w:val="FirstParagraph"/>
      </w:pPr>
      <w:r>
        <w:t xml:space="preserve">During preparation the authors used a generative AI tool to assist with analysis</w:t>
      </w:r>
      <w:r>
        <w:t xml:space="preserve"> </w:t>
      </w:r>
      <w:r>
        <w:t xml:space="preserve">code and language editing. The authors reviewed and edited all output and take full</w:t>
      </w:r>
      <w:r>
        <w:t xml:space="preserve"> </w:t>
      </w:r>
      <w:r>
        <w:t xml:space="preserve">responsibility for the content.</w:t>
      </w:r>
    </w:p>
    <w:bookmarkEnd w:id="48"/>
    <w:bookmarkEnd w:id="49"/>
    <w:bookmarkStart w:id="50"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50"/>
    <w:bookmarkStart w:id="70"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69" w:name="refs"/>
    <w:bookmarkStart w:id="51"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51"/>
    <w:bookmarkStart w:id="52"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52"/>
    <w:bookmarkStart w:id="53"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53"/>
    <w:bookmarkStart w:id="54"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54"/>
    <w:bookmarkStart w:id="55"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55"/>
    <w:bookmarkStart w:id="56"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56"/>
    <w:bookmarkStart w:id="57"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57"/>
    <w:bookmarkStart w:id="58"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58"/>
    <w:bookmarkStart w:id="59"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59"/>
    <w:bookmarkStart w:id="60"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60"/>
    <w:bookmarkStart w:id="62"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61">
        <w:r>
          <w:rPr>
            <w:rStyle w:val="Hyperlink"/>
          </w:rPr>
          <w:t xml:space="preserve">https://doi.org/10.18653/v1/2023.blackboxnlp-1.2</w:t>
        </w:r>
      </w:hyperlink>
      <w:r>
        <w:t xml:space="preserve">.</w:t>
      </w:r>
    </w:p>
    <w:bookmarkEnd w:id="62"/>
    <w:bookmarkStart w:id="63"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63"/>
    <w:bookmarkStart w:id="65"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64">
        <w:r>
          <w:rPr>
            <w:rStyle w:val="Hyperlink"/>
          </w:rPr>
          <w:t xml:space="preserve">https://doi.org/10.1609/aaai.v36i10.21390</w:t>
        </w:r>
      </w:hyperlink>
      <w:r>
        <w:t xml:space="preserve">.</w:t>
      </w:r>
    </w:p>
    <w:bookmarkEnd w:id="65"/>
    <w:bookmarkStart w:id="66"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66"/>
    <w:bookmarkStart w:id="67"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67"/>
    <w:bookmarkStart w:id="68"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hyperlink" Id="rId64" Target="https://doi.org/10.1609/aaai.v36i10.21390" TargetMode="External" /><Relationship Type="http://schemas.openxmlformats.org/officeDocument/2006/relationships/hyperlink" Id="rId61"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609/aaai.v36i10.21390" TargetMode="External" /><Relationship Type="http://schemas.openxmlformats.org/officeDocument/2006/relationships/hyperlink" Id="rId61"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2026-09-13T07:01:28Z</dcterms:created>
  <dcterms:modified xsi:type="dcterms:W3CDTF">2026-09-13T07:01:28Z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vt:lpwstr>
  </property>
  <property fmtid="{D5CDD505-2E9C-101B-9397-08002B2CF9AE}" pid="3" name="bibliography">
    <vt:lpwstr/>
  </property>
  <property fmtid="{D5CDD505-2E9C-101B-9397-08002B2CF9AE}" pid="4" name="date">
    <vt:lpwstr/>
  </property>
</Properties>
</file>