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1"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End w:id="21"/>
    <w:bookmarkStart w:id="28" w:name="sec:scaling"/>
    <w:p>
      <w:pPr>
        <w:pStyle w:val="Heading1"/>
      </w:pPr>
      <w:r>
        <w:t xml:space="preserve">Differential Scaling</w:t>
      </w:r>
    </w:p>
    <w:bookmarkStart w:id="22"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2"/>
    <w:bookmarkStart w:id="26" w:name="fig:scaling"/>
    <w:p>
      <w:pPr>
        <w:pStyle w:val="CaptionedFigure"/>
      </w:pPr>
      <w:r>
        <w:drawing>
          <wp:inline>
            <wp:extent cx="5334000" cy="1981200"/>
            <wp:effectExtent b="0" l="0" r="0" t="0"/>
            <wp:docPr descr="" title="" id="24" name="Picture"/>
            <a:graphic>
              <a:graphicData uri="http://schemas.openxmlformats.org/drawingml/2006/picture">
                <pic:pic>
                  <pic:nvPicPr>
                    <pic:cNvPr descr="scaling.png" id="25" name="Picture"/>
                    <pic:cNvPicPr>
                      <a:picLocks noChangeArrowheads="1" noChangeAspect="1"/>
                    </pic:cNvPicPr>
                  </pic:nvPicPr>
                  <pic:blipFill>
                    <a:blip r:embed="rId2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6"/>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7" w:name="an-illustrative-extrapolation."/>
    <w:p>
      <w:pPr>
        <w:pStyle w:val="Heading4"/>
      </w:pPr>
      <w:r>
        <w:t xml:space="preserve">An illustrative extrapolation.</w:t>
      </w:r>
    </w:p>
    <w:p>
      <w:pPr>
        <w:pStyle w:val="FirstParagraph"/>
      </w:pPr>
      <w:r>
        <w:t xml:space="preserve">Extending the fitted lines 25-fold beyond our largest model, to</w:t>
      </w:r>
      <w:r>
        <w:t xml:space="preserve"> </w:t>
      </w:r>
      <w:r>
        <w:t xml:space="preserve">one billion parameters, gives check violations at 0.0413 per position</w:t>
      </w:r>
      <w:r>
        <w:t xml:space="preserve"> </w:t>
      </w:r>
      <w:r>
        <w:t xml:space="preserve">against empty-source errors at 0.0023, and failures despite</w:t>
      </w:r>
      <w:r>
        <w:t xml:space="preserve"> </w:t>
      </w:r>
      <w:r>
        <w:t xml:space="preserve">correct local belief at 0.0435. This is far outside the fitted range and</w:t>
      </w:r>
      <w:r>
        <w:t xml:space="preserve"> </w:t>
      </w:r>
      <w:r>
        <w:t xml:space="preserve">we offer it only to show what the exponents imply if they held: the category that</w:t>
      </w:r>
      <w:r>
        <w:t xml:space="preserve"> </w:t>
      </w:r>
      <w:r>
        <w:t xml:space="preserve">scale does not remove would become the largest.</w:t>
      </w:r>
    </w:p>
    <w:bookmarkEnd w:id="27"/>
    <w:bookmarkEnd w:id="28"/>
    <w:bookmarkStart w:id="35" w:name="sec:external"/>
    <w:p>
      <w:pPr>
        <w:pStyle w:val="Heading1"/>
      </w:pPr>
      <w:r>
        <w:t xml:space="preserve">External Validity</w:t>
      </w:r>
    </w:p>
    <w:bookmarkStart w:id="29"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29"/>
    <w:bookmarkStart w:id="31"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0"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0"/>
    <w:bookmarkEnd w:id="31"/>
    <w:bookmarkStart w:id="32"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2"/>
    <w:bookmarkStart w:id="34"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3"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3"/>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4"/>
    <w:bookmarkEnd w:id="35"/>
    <w:bookmarkStart w:id="40"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6"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6"/>
    <w:bookmarkStart w:id="38"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7"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7"/>
    <w:bookmarkEnd w:id="38"/>
    <w:bookmarkStart w:id="39"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39"/>
    <w:bookmarkEnd w:id="40"/>
    <w:bookmarkStart w:id="42"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1"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1"/>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2"/>
    <w:bookmarkStart w:id="43"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3"/>
    <w:bookmarkStart w:id="44"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4"/>
    <w:bookmarkStart w:id="45"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5"/>
    <w:bookmarkStart w:id="50" w:name="declarations"/>
    <w:p>
      <w:pPr>
        <w:pStyle w:val="Heading1"/>
      </w:pPr>
      <w:r>
        <w:t xml:space="preserve">Declarations</w:t>
      </w:r>
    </w:p>
    <w:bookmarkStart w:id="46" w:name="disclosure-statement."/>
    <w:p>
      <w:pPr>
        <w:pStyle w:val="Heading4"/>
      </w:pPr>
      <w:r>
        <w:t xml:space="preserve">Disclosure statement.</w:t>
      </w:r>
    </w:p>
    <w:p>
      <w:pPr>
        <w:pStyle w:val="FirstParagraph"/>
      </w:pPr>
      <w:r>
        <w:t xml:space="preserve">The authors report no conflict of interest.</w:t>
      </w:r>
    </w:p>
    <w:bookmarkEnd w:id="46"/>
    <w:bookmarkStart w:id="47"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47"/>
    <w:bookmarkStart w:id="48"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48"/>
    <w:bookmarkStart w:id="49"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49"/>
    <w:bookmarkEnd w:id="50"/>
    <w:bookmarkStart w:id="51"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1"/>
    <w:bookmarkStart w:id="72"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1" w:name="refs"/>
    <w:bookmarkStart w:id="52"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2"/>
    <w:bookmarkStart w:id="53"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3"/>
    <w:bookmarkStart w:id="54"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4"/>
    <w:bookmarkStart w:id="55"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5"/>
    <w:bookmarkStart w:id="56"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6"/>
    <w:bookmarkStart w:id="57"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7"/>
    <w:bookmarkStart w:id="58"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58"/>
    <w:bookmarkStart w:id="59"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59"/>
    <w:bookmarkStart w:id="60"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0"/>
    <w:bookmarkStart w:id="61"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1"/>
    <w:bookmarkStart w:id="63"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2">
        <w:r>
          <w:rPr>
            <w:rStyle w:val="Hyperlink"/>
          </w:rPr>
          <w:t xml:space="preserve">https://doi.org/10.18653/v1/2023.blackboxnlp-1.2</w:t>
        </w:r>
      </w:hyperlink>
      <w:r>
        <w:t xml:space="preserve">.</w:t>
      </w:r>
    </w:p>
    <w:bookmarkEnd w:id="63"/>
    <w:bookmarkStart w:id="64"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4"/>
    <w:bookmarkStart w:id="65"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5"/>
    <w:bookmarkStart w:id="67"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6">
        <w:r>
          <w:rPr>
            <w:rStyle w:val="Hyperlink"/>
          </w:rPr>
          <w:t xml:space="preserve">https://doi.org/10.1609/aaai.v36i10.21390</w:t>
        </w:r>
      </w:hyperlink>
      <w:r>
        <w:t xml:space="preserve">.</w:t>
      </w:r>
    </w:p>
    <w:bookmarkEnd w:id="67"/>
    <w:bookmarkStart w:id="68"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68"/>
    <w:bookmarkStart w:id="69"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69"/>
    <w:bookmarkStart w:id="70"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66" Target="https://doi.org/10.1609/aaai.v36i10.21390" TargetMode="External" /><Relationship Type="http://schemas.openxmlformats.org/officeDocument/2006/relationships/hyperlink" Id="rId62"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609/aaai.v36i10.21390" TargetMode="External" /><Relationship Type="http://schemas.openxmlformats.org/officeDocument/2006/relationships/hyperlink" Id="rId62"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2026-09-13T19:28:13Z</dcterms:created>
  <dcterms:modified xsi:type="dcterms:W3CDTF">2026-09-13T19:28:13Z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