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squares fall with exponent -0.570, while moves illegal</w:t>
      </w:r>
      <w:r>
        <w:t xml:space="preserve"> </w:t>
      </w:r>
      <w:r>
        <w:t xml:space="preserve">only because they leave the king in check fall with exponent -0.114: a paired</w:t>
      </w:r>
      <w:r>
        <w:t xml:space="preserve"> </w:t>
      </w:r>
      <w:r>
        <w:t xml:space="preserve">differential of +0.456 [+0.250, +0.604]. Every</w:t>
      </w:r>
      <w:r>
        <w:t xml:space="preserve"> </w:t>
      </w:r>
      <w:r>
        <w:t xml:space="preserve">class improves;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0.125.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Internal belief is coupled to action locally,</w:t>
      </w:r>
      <w:r>
        <w:t xml:space="preserve"> </w:t>
      </w:r>
      <w:r>
        <w:t xml:space="preserve">and the repair we test installs about two squares but no reliable whole-board</w:t>
      </w:r>
      <w:r>
        <w:t xml:space="preserve"> </w:t>
      </w:r>
      <w:r>
        <w:t xml:space="preserve">correction. Two reasonable scores of the same intervention then 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improves with scale; they differ in how fast.</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 exttt</w:t>
      </w:r>
      <w:r>
        <w:t xml:space="preserve">e1g1</w:t>
      </w:r>
      <w:r>
        <w:t xml:space="preserve"> </w:t>
      </w:r>
      <w:r>
        <w:t xml:space="preserve">while also accepting the exttt</w:t>
      </w:r>
      <w: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were not retained, so</w:t>
      </w:r>
      <w:r>
        <w:t xml:space="preserve"> </w:t>
      </w:r>
      <w:r>
        <w:t xml:space="preserve">the affected share cannot be recovered without regenerating the failure sets, and</w:t>
      </w:r>
      <w:r>
        <w:t xml:space="preserve"> </w:t>
      </w:r>
      <w:r>
        <w:t xml:space="preserve">we flag it as a known mislabel rather than correct it silently.</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+0.461 on the full ladder and</w:t>
      </w:r>
      <w:r>
        <w:t xml:space="preserve"> </w:t>
      </w:r>
      <w:r>
        <w:t xml:space="preserve">stays within [+0.360, +0.539] under every single-rung deletion, the largest shift</w:t>
      </w:r>
      <w:r>
        <w:t xml:space="preserve"> </w:t>
      </w:r>
      <w:r>
        <w:t xml:space="preserve">being 0.101.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Across 16,200 recorded failures from all 18 runs, 0 were legal under</w:t>
      </w:r>
      <w:r>
        <w:t xml:space="preserve"> </w:t>
      </w:r>
      <w:r>
        <w:t xml:space="preserve">the corrected gate.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as published, and that residual difference is</w:t>
      </w:r>
      <w:r>
        <w:t xml:space="preserve"> </w:t>
      </w:r>
      <w:r>
        <w:t xml:space="preserve">this drift 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first four are</w:t>
      </w:r>
      <w:r>
        <w:t xml:space="preserve"> </w:t>
      </w:r>
      <w:r>
        <w:t xml:space="preserve">decided by the move’s own two squares, a blocked path needs one further square, and a</w:t>
      </w:r>
      <w:r>
        <w:t xml:space="preserve"> </w:t>
      </w:r>
      <w:r>
        <w:t xml:space="preserve">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first four are decided by the move’s own two squares, a blocked path needs one further square,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increases monotonically with size</w:t>
      </w:r>
      <w:r>
        <w:t xml:space="preserve"> </w:t>
      </w:r>
      <w:r>
        <w:t xml:space="preserve">toward its upper bound of one, as the shallowest exponent comes to dominate, while the</w:t>
      </w:r>
      <w:r>
        <w:t xml:space="preserve"> </w:t>
      </w:r>
      <w:r>
        <w:t xml:space="preserve">locally decidable categories decline toward zero. The paper’s qualitative claim is</w:t>
      </w:r>
      <w:r>
        <w:t xml:space="preserve"> </w:t>
      </w:r>
      <w:r>
        <w:t xml:space="preserve">unchanged. What changes is that the trajectory is now bounded by construction, so it</w:t>
      </w:r>
      <w:r>
        <w:t xml:space="preserve"> </w:t>
      </w:r>
      <w:r>
        <w:t xml:space="preserve">describes something the categories can jointly satisfy, which the earlier unbounded</w:t>
      </w:r>
      <w:r>
        <w:t xml:space="preserve"> </w:t>
      </w:r>
      <w:r>
        <w:t xml:space="preserve">projection did not.</w:t>
      </w:r>
    </w:p>
    <w:p>
      <w:pPr>
        <w:pStyle w:val="BodyText"/>
      </w:pPr>
      <w:r>
        <w:t xml:space="preserve">We no longer put figures for specific far-off scales in the main text. 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0.308 at our largest rung, having been</w:t>
      </w:r>
      <w:r>
        <w:t xml:space="preserve"> </w:t>
      </w:r>
      <w:r>
        <w:t xml:space="preserve">observed between 0.148 and 0.321,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that we have not</w:t>
      </w:r>
      <w:r>
        <w:t xml:space="preserve"> </w:t>
      </w:r>
      <w:r>
        <w:t xml:space="preserve">run</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+0.023 [</w:t>
      </w:r>
      <m:oMath>
        <m:r>
          <m:rPr>
            <m:sty m:val="p"/>
          </m:rPr>
          <m:t>−</m:t>
        </m:r>
      </m:oMath>
      <w:r>
        <w:t xml:space="preserve">0.005, +0.066], a differential</w:t>
      </w:r>
      <w:r>
        <w:t xml:space="preserve"> </w:t>
      </w:r>
      <w:r>
        <w:t xml:space="preserve">against empty-source errors of +0.596 [+0.367, +0.761].</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[app:integrity]</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54"/>
    <w:bookmarkEnd w:id="55"/>
    <w:bookmarkStart w:id="58"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7"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7"/>
    <w:bookmarkEnd w:id="58"/>
    <w:bookmarkStart w:id="59"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9"/>
    <w:bookmarkStart w:id="64" w:name="sec:implications"/>
    <w:p>
      <w:pPr>
        <w:pStyle w:val="Heading1"/>
      </w:pPr>
      <w:r>
        <w:t xml:space="preserve">Implications for Individuals, Organisations, and Society</w:t>
      </w:r>
    </w:p>
    <w:bookmarkStart w:id="60"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0"/>
    <w:bookmarkStart w:id="61"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+0.023,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0.125.</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1"/>
    <w:bookmarkStart w:id="62"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2"/>
    <w:bookmarkStart w:id="63"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3"/>
    <w:bookmarkEnd w:id="64"/>
    <w:bookmarkStart w:id="6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5"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5"/>
    <w:bookmarkStart w:id="66"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6"/>
    <w:bookmarkEnd w:id="67"/>
    <w:bookmarkStart w:id="6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68"/>
    <w:bookmarkStart w:id="74" w:name="declarations"/>
    <w:p>
      <w:pPr>
        <w:pStyle w:val="Heading1"/>
      </w:pPr>
      <w:r>
        <w:t xml:space="preserve">Declarations</w:t>
      </w:r>
    </w:p>
    <w:bookmarkStart w:id="69" w:name="disclosure-statement."/>
    <w:p>
      <w:pPr>
        <w:pStyle w:val="Heading4"/>
      </w:pPr>
      <w:r>
        <w:t xml:space="preserve">Disclosure statement.</w:t>
      </w:r>
    </w:p>
    <w:p>
      <w:pPr>
        <w:pStyle w:val="FirstParagraph"/>
      </w:pPr>
      <w:r>
        <w:t xml:space="preserve">The authors report no conflict of interest.</w:t>
      </w:r>
    </w:p>
    <w:bookmarkEnd w:id="69"/>
    <w:bookmarkStart w:id="7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0"/>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1">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integrity-record"/>
    <w:p>
      <w:pPr>
        <w:pStyle w:val="Heading1"/>
      </w:pPr>
      <w:r>
        <w:t xml:space="preserve">Integrity record</w:t>
      </w:r>
    </w:p>
    <w:bookmarkEnd w:id="76"/>
    <w:bookmarkStart w:id="98"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0.444</w:t>
            </w:r>
          </w:p>
        </w:tc>
        <w:tc>
          <w:tcPr/>
          <w:p>
            <w:pPr>
              <w:pStyle w:val="Compact"/>
              <w:jc w:val="center"/>
            </w:pPr>
            <w:r>
              <w:t xml:space="preserve">0.588</w:t>
            </w:r>
          </w:p>
        </w:tc>
        <w:tc>
          <w:tcPr/>
          <w:p>
            <w:pPr>
              <w:pStyle w:val="Compact"/>
              <w:jc w:val="center"/>
            </w:pPr>
            <w:r>
              <w:t xml:space="preserve">0.769</w:t>
            </w:r>
          </w:p>
        </w:tc>
      </w:tr>
      <w:tr>
        <w:tc>
          <w:tcPr/>
          <w:p>
            <w:pPr>
              <w:pStyle w:val="Compact"/>
              <w:jc w:val="left"/>
            </w:pPr>
            <w:r>
              <w:t xml:space="preserve">locally decidable share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policy share (own logit model)</w:t>
            </w:r>
          </w:p>
        </w:tc>
        <w:tc>
          <w:tcPr/>
          <w:p>
            <w:pPr>
              <w:pStyle w:val="Compact"/>
              <w:jc w:val="center"/>
            </w:pPr>
            <w:r>
              <w:t xml:space="preserve">0.308</w:t>
            </w:r>
          </w:p>
        </w:tc>
        <w:tc>
          <w:tcPr/>
          <w:p>
            <w:pPr>
              <w:pStyle w:val="Compact"/>
              <w:jc w:val="center"/>
            </w:pPr>
            <w:r>
              <w:t xml:space="preserve">0.596</w:t>
            </w:r>
          </w:p>
        </w:tc>
        <w:tc>
          <w:tcPr/>
          <w:p>
            <w:pPr>
              <w:pStyle w:val="Compact"/>
              <w:jc w:val="center"/>
            </w:pPr>
            <w:r>
              <w:t xml:space="preserve">0.951</w:t>
            </w:r>
          </w:p>
        </w:tc>
      </w:tr>
    </w:tbl>
    <w:p>
      <w:pPr>
        <w:pStyle w:val="BodyText"/>
      </w:pPr>
      <w:r>
        <w:t xml:space="preserve">The check share approaches one from below and the locally decidable shares approach</w:t>
      </w:r>
      <w:r>
        <w:t xml:space="preserve"> </w:t>
      </w:r>
      <w:r>
        <w:t xml:space="preserve">zero, which is the bounded behaviour the simplex parameterisation guarantees. The</w:t>
      </w:r>
      <w:r>
        <w:t xml:space="preserve"> </w:t>
      </w:r>
      <w:r>
        <w:t xml:space="preserve">policy share is modelled on its own logit rather than inside the simplex, because it</w:t>
      </w:r>
      <w:r>
        <w:t xml:space="preserve"> </w:t>
      </w:r>
      <w:r>
        <w:t xml:space="preserve">cuts across the partition rather than belonging to it.</w:t>
      </w:r>
    </w:p>
    <w:p>
      <w:pPr>
        <w:pStyle w:val="BodyText"/>
      </w:pPr>
      <w:bookmarkStart w:id="77" w:name="app:integrity"/>
      <w:bookmarkEnd w:id="77"/>
    </w:p>
    <w:p>
      <w:pPr>
        <w:pStyle w:val="BodyText"/>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97" w:name="refs"/>
    <w:bookmarkStart w:id="78"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8"/>
    <w:bookmarkStart w:id="79"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9"/>
    <w:bookmarkStart w:id="80"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80"/>
    <w:bookmarkStart w:id="81"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1"/>
    <w:bookmarkStart w:id="82"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2"/>
    <w:bookmarkStart w:id="83"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3"/>
    <w:bookmarkStart w:id="84"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4"/>
    <w:bookmarkStart w:id="85"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5"/>
    <w:bookmarkStart w:id="86"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6"/>
    <w:bookmarkStart w:id="87"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7"/>
    <w:bookmarkStart w:id="89"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8">
        <w:r>
          <w:rPr>
            <w:rStyle w:val="Hyperlink"/>
          </w:rPr>
          <w:t xml:space="preserve">https://doi.org/10.18653/v1/2023.blackboxnlp-1.2</w:t>
        </w:r>
      </w:hyperlink>
      <w:r>
        <w:t xml:space="preserve">.</w:t>
      </w:r>
    </w:p>
    <w:bookmarkEnd w:id="89"/>
    <w:bookmarkStart w:id="90"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90"/>
    <w:bookmarkStart w:id="91"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1"/>
    <w:bookmarkStart w:id="93"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2">
        <w:r>
          <w:rPr>
            <w:rStyle w:val="Hyperlink"/>
          </w:rPr>
          <w:t xml:space="preserve">https://doi.org/10.1609/aaai.v36i10.21390</w:t>
        </w:r>
      </w:hyperlink>
      <w:r>
        <w:t xml:space="preserve">.</w:t>
      </w:r>
    </w:p>
    <w:bookmarkEnd w:id="93"/>
    <w:bookmarkStart w:id="94"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4"/>
    <w:bookmarkStart w:id="95"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5"/>
    <w:bookmarkStart w:id="96"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92" Target="https://doi.org/10.1609/aaai.v36i10.21390" TargetMode="External" /><Relationship Type="http://schemas.openxmlformats.org/officeDocument/2006/relationships/hyperlink" Id="rId88" Target="https://doi.org/10.18653/v1/2023.blackboxnlp-1.2" TargetMode="External" /><Relationship Type="http://schemas.openxmlformats.org/officeDocument/2006/relationships/hyperlink" Id="rId71"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609/aaai.v36i10.21390" TargetMode="External" /><Relationship Type="http://schemas.openxmlformats.org/officeDocument/2006/relationships/hyperlink" Id="rId88" Target="https://doi.org/10.18653/v1/2023.blackboxnlp-1.2" TargetMode="External" /><Relationship Type="http://schemas.openxmlformats.org/officeDocument/2006/relationships/hyperlink" Id="rId71"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2026-10-08T11:47:25Z</dcterms:created>
  <dcterms:modified xsi:type="dcterms:W3CDTF">2026-10-08T11:47:25Z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squares fall with exponent -0.570, while moves illegal only because they leave the king in check fall with exponent -0.114: a paired differential of +0.456 [+0.250, +0.604]. Every class improves; the rates differ. Failures occurring despite correctly decoded local state have a nearly flat joint rate, because improving decoding offsets a conditional failure rate falling with exponent -0.125. The ordering replicates on an independent character-level ladder spanning a 38-fold parameter range, and in OthelloGPT 160 of 161 residual failures are of the non-local kind. Internal belief is coupled to action locally, and the repair we test installs about two squares but no reliable whole-board correction. Two reasonable scores of the same intervention then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