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as published, and that residual difference is</w:t>
      </w:r>
      <w:r>
        <w:t xml:space="preserve"> </w:t>
      </w:r>
      <w:r>
        <w:t xml:space="preserve">this drift 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first four are</w:t>
      </w:r>
      <w:r>
        <w:t xml:space="preserve"> </w:t>
      </w:r>
      <w:r>
        <w:t xml:space="preserve">decided by the move’s own two squares, a blocked path needs one further square, and a</w:t>
      </w:r>
      <w:r>
        <w:t xml:space="preserve"> </w:t>
      </w:r>
      <w:r>
        <w:t xml:space="preserve">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first four are decided by the move’s own two squares, a blocked path needs one further square,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increases monotonically with size</w:t>
      </w:r>
      <w:r>
        <w:t xml:space="preserve"> </w:t>
      </w:r>
      <w:r>
        <w:t xml:space="preserve">toward its upper bound of one, as the shallowest exponent comes to dominate, while the</w:t>
      </w:r>
      <w:r>
        <w:t xml:space="preserve"> </w:t>
      </w:r>
      <w:r>
        <w:t xml:space="preserve">locally decidable categories decline toward zero. The paper’s qualitative claim is</w:t>
      </w:r>
      <w:r>
        <w:t xml:space="preserve"> </w:t>
      </w:r>
      <w:r>
        <w:t xml:space="preserve">unchanged. What changes is that the trajectory is now bounded by construction, so it</w:t>
      </w:r>
      <w:r>
        <w:t xml:space="preserve"> </w:t>
      </w:r>
      <w:r>
        <w:t xml:space="preserve">describes something the categories can jointly satisfy, which the earlier unbounded</w:t>
      </w:r>
      <w:r>
        <w:t xml:space="preserve"> </w:t>
      </w:r>
      <w:r>
        <w:t xml:space="preserve">projection did not.</w:t>
      </w:r>
    </w:p>
    <w:p>
      <w:pPr>
        <w:pStyle w:val="BodyText"/>
      </w:pPr>
      <w:r>
        <w:t xml:space="preserve">We no longer put figures for specific far-off scales in the main text. 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0.308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[app:integrity]</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8"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8"/>
    <w:bookmarkStart w:id="73"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Removed for double-anonymous peer review.</w:t>
      </w:r>
    </w:p>
    <w:bookmarkEnd w:id="69"/>
    <w:bookmarkStart w:id="70" w:name="funding."/>
    <w:p>
      <w:pPr>
        <w:pStyle w:val="Heading4"/>
      </w:pPr>
      <w:r>
        <w:t xml:space="preserve">Funding.</w:t>
      </w:r>
    </w:p>
    <w:p>
      <w:pPr>
        <w:pStyle w:val="FirstParagraph"/>
      </w:pPr>
      <w:r>
        <w:t xml:space="preserve">Removed for double-anonymous peer review.</w:t>
      </w:r>
    </w:p>
    <w:bookmarkEnd w:id="70"/>
    <w:bookmarkStart w:id="7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1"/>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2"/>
    <w:bookmarkEnd w:id="73"/>
    <w:bookmarkStart w:id="7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4"/>
    <w:bookmarkStart w:id="75" w:name="integrity-record"/>
    <w:p>
      <w:pPr>
        <w:pStyle w:val="Heading1"/>
      </w:pPr>
      <w:r>
        <w:t xml:space="preserve">Integrity record</w:t>
      </w:r>
    </w:p>
    <w:bookmarkEnd w:id="75"/>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0.444</w:t>
            </w:r>
          </w:p>
        </w:tc>
        <w:tc>
          <w:tcPr/>
          <w:p>
            <w:pPr>
              <w:pStyle w:val="Compact"/>
              <w:jc w:val="center"/>
            </w:pPr>
            <w:r>
              <w:t xml:space="preserve">0.588</w:t>
            </w:r>
          </w:p>
        </w:tc>
        <w:tc>
          <w:tcPr/>
          <w:p>
            <w:pPr>
              <w:pStyle w:val="Compact"/>
              <w:jc w:val="center"/>
            </w:pPr>
            <w:r>
              <w:t xml:space="preserve">0.769</w:t>
            </w:r>
          </w:p>
        </w:tc>
      </w:tr>
      <w:tr>
        <w:tc>
          <w:tcPr/>
          <w:p>
            <w:pPr>
              <w:pStyle w:val="Compact"/>
              <w:jc w:val="left"/>
            </w:pPr>
            <w:r>
              <w:t xml:space="preserve">locally decidable share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0.308</w:t>
            </w:r>
          </w:p>
        </w:tc>
        <w:tc>
          <w:tcPr/>
          <w:p>
            <w:pPr>
              <w:pStyle w:val="Compact"/>
              <w:jc w:val="center"/>
            </w:pPr>
            <w:r>
              <w:t xml:space="preserve">0.596</w:t>
            </w:r>
          </w:p>
        </w:tc>
        <w:tc>
          <w:tcPr/>
          <w:p>
            <w:pPr>
              <w:pStyle w:val="Compact"/>
              <w:jc w:val="center"/>
            </w:pPr>
            <w:r>
              <w:t xml:space="preserve">0.951</w:t>
            </w:r>
          </w:p>
        </w:tc>
      </w:tr>
    </w:tbl>
    <w:p>
      <w:pPr>
        <w:pStyle w:val="BodyText"/>
      </w:pPr>
      <w:r>
        <w:t xml:space="preserve">The check share approaches one from below and the locally decidable shares approach</w:t>
      </w:r>
      <w:r>
        <w:t xml:space="preserve"> </w:t>
      </w:r>
      <w:r>
        <w:t xml:space="preserve">zero, which is the bounded behaviour the simplex parameterisation guarantees. The</w:t>
      </w:r>
      <w:r>
        <w:t xml:space="preserve"> </w:t>
      </w:r>
      <w:r>
        <w:t xml:space="preserve">policy share is modelled on its own logit rather than inside the simplex, because it</w:t>
      </w:r>
      <w:r>
        <w:t xml:space="preserve"> </w:t>
      </w:r>
      <w:r>
        <w:t xml:space="preserve">cuts across the partition rather than belonging to it.</w:t>
      </w:r>
    </w:p>
    <w:p>
      <w:pPr>
        <w:pStyle w:val="BodyText"/>
      </w:pPr>
      <w:bookmarkStart w:id="76" w:name="app:integrity"/>
      <w:bookmarkEnd w:id="76"/>
    </w:p>
    <w:p>
      <w:pPr>
        <w:pStyle w:val="BodyText"/>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2026-10-08T11:47:26Z</dcterms:created>
  <dcterms:modified xsi:type="dcterms:W3CDTF">2026-10-08T11:47:26Z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