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rPr>
          <w:i/>
          <w:iCs/>
        </w:rPr>
        <w:t xml:space="preserve">Author names and affiliations removed for</w:t>
      </w:r>
      <w:r>
        <w:rPr>
          <w:i/>
          <w:iCs/>
        </w:rPr>
        <w:t xml:space="preserve"> </w:t>
      </w:r>
      <w:r>
        <w:rPr>
          <w:i/>
          <w:iCs/>
        </w:rPr>
        <w:t xml:space="preserve">double-anonymous peer review</w:t>
      </w:r>
    </w:p>
    <w:p>
      <w:pPr>
        <w:pStyle w:val="AbstractTitle"/>
      </w:pPr>
      <w:r>
        <w:t xml:space="preserve">Abstract</w:t>
      </w:r>
    </w:p>
    <w:p>
      <w:pPr>
        <w:pStyle w:val="Abstract"/>
      </w:pPr>
      <w:r>
        <w:t xml:space="preserve">Organisations decide where to spend an artificial intelligence budget by asking</w:t>
      </w:r>
      <w:r>
        <w:t xml:space="preserve"> </w:t>
      </w:r>
      <w:r>
        <w:t xml:space="preserve">which of a system’s failures the next model generation will remove on its own. The</w:t>
      </w:r>
      <w:r>
        <w:t xml:space="preserve"> </w:t>
      </w:r>
      <w:r>
        <w:t xml:space="preserve">usual evidence is a decomposition: sort the errors into categories and fit a scaling</w:t>
      </w:r>
      <w:r>
        <w:t xml:space="preserve"> </w:t>
      </w:r>
      <w:r>
        <w:t xml:space="preserve">curve to each. Studies that do this commonly also fit the aggregate error rate as a</w:t>
      </w:r>
      <w:r>
        <w:t xml:space="preserve"> </w:t>
      </w:r>
      <w:r>
        <w:t xml:space="preserve">curve of its own. We show the two cannot both be right. If the categories follow</w:t>
      </w:r>
      <w:r>
        <w:t xml:space="preserve"> </w:t>
      </w:r>
      <w:r>
        <w:t xml:space="preserve">power laws with different exponents, their sum is provably not a power law, so an</w:t>
      </w:r>
      <w:r>
        <w:t xml:space="preserve"> </w:t>
      </w:r>
      <w:r>
        <w:t xml:space="preserve">independently fitted aggregate contradicts the categories it summarises. The</w:t>
      </w:r>
      <w:r>
        <w:t xml:space="preserve"> </w:t>
      </w:r>
      <w:r>
        <w:t xml:space="preserve">conflict is not only asymptotic. On our data the aggregate’s curvature is</w:t>
      </w:r>
      <w:r>
        <w:t xml:space="preserve"> </w:t>
      </w:r>
      <w:r>
        <w:t xml:space="preserve">detectable inside the observed range, a quadratic term of +0.0403</w:t>
      </w:r>
      <w:r>
        <w:t xml:space="preserve"> </w:t>
      </w:r>
      <w:r>
        <w:t xml:space="preserve">[+0.0194, +0.0599] that excludes zero and halves the residual, so a</w:t>
      </w:r>
      <w:r>
        <w:t xml:space="preserve"> </w:t>
      </w:r>
      <w:r>
        <w:t xml:space="preserve">single power law is a demonstrably wrong model of the total where the data actually</w:t>
      </w:r>
      <w:r>
        <w:t xml:space="preserve"> </w:t>
      </w:r>
      <w:r>
        <w:t xml:space="preserve">are. Extrapolated, the fitted parts reach 1.27 times the fitted whole</w:t>
      </w:r>
      <w:r>
        <w:t xml:space="preserve"> </w:t>
      </w:r>
      <w:r>
        <w:t xml:space="preserve">at one billion parameters. The repair is to derive the total from the parts rather</w:t>
      </w:r>
      <w:r>
        <w:t xml:space="preserve"> </w:t>
      </w:r>
      <w:r>
        <w:t xml:space="preserve">than fit it separately, which needs no new machinery; what it costs is the aggregate</w:t>
      </w:r>
      <w:r>
        <w:t xml:space="preserve"> </w:t>
      </w:r>
      <w:r>
        <w:t xml:space="preserve">exponent itself, whose effective slope drifts from</w:t>
      </w:r>
      <w:r>
        <w:t xml:space="preserve"> </w:t>
      </w:r>
      <m:oMath>
        <m:r>
          <m:rPr>
            <m:sty m:val="p"/>
          </m:rPr>
          <m:t>−</m:t>
        </m:r>
      </m:oMath>
      <w:r>
        <w:t xml:space="preserve">0.299 to</w:t>
      </w:r>
      <w:r>
        <w:t xml:space="preserve"> </w:t>
      </w:r>
      <m:oMath>
        <m:r>
          <m:rPr>
            <m:sty m:val="p"/>
          </m:rPr>
          <m:t>−</m:t>
        </m:r>
      </m:oMath>
      <w:r>
        <w:t xml:space="preserve">0.174, covering 27% of the span of the category</w:t>
      </w:r>
      <w:r>
        <w:t xml:space="preserve"> </w:t>
      </w:r>
      <w:r>
        <w:t xml:space="preserve">exponents it is meant to summarise. We contribute the consistency condition, a</w:t>
      </w:r>
      <w:r>
        <w:t xml:space="preserve"> </w:t>
      </w:r>
      <w:r>
        <w:t xml:space="preserve">diagnostic needing only the coefficients a study already prints, and the observation</w:t>
      </w:r>
      <w:r>
        <w:t xml:space="preserve"> </w:t>
      </w:r>
      <w:r>
        <w:t xml:space="preserve">that conclusions resting on such a pair’s out-of-range behaviour are void, which we</w:t>
      </w:r>
      <w:r>
        <w:t xml:space="preserve"> </w:t>
      </w:r>
      <w:r>
        <w:t xml:space="preserve">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consistency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(Anonymous, 2026) 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consistent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consistently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consistent ways of writing the composition agree to</w:t>
      </w:r>
      <w:r>
        <w:t xml:space="preserve"> </w:t>
      </w:r>
      <w:r>
        <w:t xml:space="preserve">within 0.0060 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consistency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A sum of power laws with</w:t>
      </w:r>
      <w:r>
        <w:t xml:space="preserve"> </w:t>
      </w:r>
      <w:r>
        <w:t xml:space="preserve">distinct exponents is not a power law, so a decomposition and a separately fitted</w:t>
      </w:r>
      <w:r>
        <w:t xml:space="preserve"> </w:t>
      </w:r>
      <w:r>
        <w:t xml:space="preserve">aggregate cannot both be correct specifications, and the aggregate is the term that</w:t>
      </w:r>
      <w:r>
        <w:t xml:space="preserve"> </w:t>
      </w:r>
      <w:r>
        <w:t xml:space="preserve">has to give way. This holds as a matter of arithmetic whatever the categories are</w:t>
      </w:r>
      <w:r>
        <w:t xml:space="preserve"> </w:t>
      </w:r>
      <w:r>
        <w:t xml:space="preserve">doing, which is what makes it a condition rather than an empirical claim.</w:t>
      </w:r>
    </w:p>
    <w:p>
      <w:pPr>
        <w:pStyle w:val="BodyText"/>
      </w:pPr>
      <w:r>
        <w:t xml:space="preserve">We resist the stronger statement that the categories are each well specified and</w:t>
      </w:r>
      <w:r>
        <w:t xml:space="preserve"> </w:t>
      </w:r>
      <w:r>
        <w:t xml:space="preserve">only their total is not. On our data that is false, and Section </w:t>
      </w:r>
      <w:hyperlink w:anchor="sec:eval">
        <w:r>
          <w:rPr>
            <w:rStyle w:val="Hyperlink"/>
          </w:rPr>
          <w:t xml:space="preserve">7</w:t>
        </w:r>
      </w:hyperlink>
      <w:r>
        <w:t xml:space="preserve"> </w:t>
      </w:r>
      <w:r>
        <w:t xml:space="preserve">reports it: one of the 5 categories is itself detectably curved</w:t>
      </w:r>
      <w:r>
        <w:t xml:space="preserve"> </w:t>
      </w:r>
      <w:r>
        <w:t xml:space="preserve">in log-log, and it is the shallowest one, the category that dominates the total at</w:t>
      </w:r>
      <w:r>
        <w:t xml:space="preserve"> </w:t>
      </w:r>
      <w:r>
        <w:t xml:space="preserve">scale. The defensible claim is therefore the weaker one, in two parts. Even if every</w:t>
      </w:r>
      <w:r>
        <w:t xml:space="preserve"> </w:t>
      </w:r>
      <w:r>
        <w:t xml:space="preserve">category were an exact power law, the aggregate could not be. And in practice the</w:t>
      </w:r>
      <w:r>
        <w:t xml:space="preserve"> </w:t>
      </w:r>
      <w:r>
        <w:t xml:space="preserve">categories are not exact power laws either, which makes a single fitted aggregate</w:t>
      </w:r>
      <w:r>
        <w:t xml:space="preserve"> </w:t>
      </w:r>
      <w:r>
        <w:t xml:space="preserve">exponent worse rather than better than the condition alone implies.</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consistency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consistent alternative cost nothing to adopt</w:t>
            </w:r>
          </w:p>
        </w:tc>
        <w:tc>
          <w:tcPr/>
          <w:p>
            <w:pPr>
              <w:pStyle w:val="Compact"/>
              <w:jc w:val="left"/>
            </w:pPr>
            <w:r>
              <w:t xml:space="preserve">The total is derived</w:t>
            </w:r>
            <w:r>
              <w:t xml:space="preserve"> </w:t>
            </w:r>
            <w:r>
              <w:t xml:space="preserve">by summation, which needs no estimation, no link function and no new modelling</w:t>
            </w:r>
            <w:r>
              <w:t xml:space="preserve"> </w:t>
            </w:r>
            <w:r>
              <w:t xml:space="preserve">commitment, so there is no methodological price to weigh against consistency.</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 consistency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The conflict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consistency,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twelve fitted coefficients, an exponent and an</w:t>
      </w:r>
      <w:r>
        <w:t xml:space="preserve"> </w:t>
      </w:r>
      <w:r>
        <w:t xml:space="preserve">intercept for each of the five categories and for the 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That interval spans an order of magnitude and its upper end is within a factor of two</w:t>
      </w:r>
      <w:r>
        <w:t xml:space="preserve"> </w:t>
      </w:r>
      <w:r>
        <w:t xml:space="preserve">of the intended forecast scale, so the threshold itself is poorly determined. The</w:t>
      </w:r>
      <w:r>
        <w:t xml:space="preserve"> </w:t>
      </w:r>
      <w:r>
        <w:t xml:space="preserve">verdict is not. At one billion parameters the parts stand at 1.27 times</w:t>
      </w:r>
      <w:r>
        <w:t xml:space="preserve"> </w:t>
      </w:r>
      <w:r>
        <w:t xml:space="preserve">the whole [1.13, 1.57], above one in</w:t>
      </w:r>
      <w:r>
        <w:t xml:space="preserve"> </w:t>
      </w:r>
      <w:r>
        <w:t xml:space="preserve">100% of resamples of the ladder: where the threshold falls is</w:t>
      </w:r>
      <w:r>
        <w:t xml:space="preserve"> </w:t>
      </w:r>
      <w:r>
        <w:t xml:space="preserve">uncertain, that the forecast scale is past it is not.</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5"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Size of the contradiction between the two fits: independently extrapolated</w:t>
      </w:r>
      <w:r>
        <w:t xml:space="preserve"> </w:t>
      </w:r>
      <w:r>
        <w:t xml:space="preserve">parts over the independently extrapolated whole. The quantity is a disagreement</w:t>
      </w:r>
      <w:r>
        <w:t xml:space="preserve"> </w:t>
      </w:r>
      <w:r>
        <w:t xml:space="preserve">between two models, not a measurement, and a value above one means they cannot both</w:t>
      </w:r>
      <w:r>
        <w:t xml:space="preserve"> </w:t>
      </w:r>
      <w:r>
        <w:t xml:space="preserve">describe the same system. Interval from resampling the ladder’s size rungs.</w:t>
      </w:r>
    </w:p>
    <w:tbl>
      <w:tblPr>
        <w:tblStyle w:val="Table"/>
        <w:tblW w:type="auto" w:w="0"/>
        <w:tblLook w:firstRow="1" w:lastRow="0" w:firstColumn="0" w:lastColumn="0" w:noHBand="0" w:noVBand="0" w:val="0020"/>
        <w:tblCaption w:val="Size of the contradiction between the two fits: independently extrapolated parts over the independently extrapolated whole. The quantity is a disagreement between two models, not a measurement, and a value above one means they cannot both describe the same system.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Xee3ab538d75f4d7a792da820d4f792ff34a7678"/>
    <w:p>
      <w:pPr>
        <w:pStyle w:val="Heading4"/>
      </w:pPr>
      <w:r>
        <w:t xml:space="preserve">Is the aggregate detectably not a power law, in range?</w:t>
      </w:r>
    </w:p>
    <w:p>
      <w:pPr>
        <w:pStyle w:val="FirstParagraph"/>
      </w:pPr>
      <w:r>
        <w:t xml:space="preserve">The argument so far is asymptotic, and a reader is entitled to ask whether it bites</w:t>
      </w:r>
      <w:r>
        <w:t xml:space="preserve"> </w:t>
      </w:r>
      <w:r>
        <w:t xml:space="preserve">on real data or only in the limit. It bites. Fitting</w:t>
      </w:r>
      <w:r>
        <w:t xml:space="preserve"> </w:t>
      </w:r>
      <m:oMath>
        <m:r>
          <m:rPr>
            <m:sty m:val="p"/>
          </m:rPr>
          <m:t>log</m:t>
        </m:r>
        <m:r>
          <m:t>T</m:t>
        </m:r>
        <m:r>
          <m:rPr>
            <m:sty m:val="p"/>
          </m:rPr>
          <m:t>=</m:t>
        </m:r>
        <m:r>
          <m:t>c</m:t>
        </m:r>
        <m:r>
          <m:rPr>
            <m:sty m:val="p"/>
          </m:rPr>
          <m:t>+</m:t>
        </m:r>
        <m:r>
          <m:t>b</m:t>
        </m:r>
        <m:r>
          <m:rPr>
            <m:sty m:val="p"/>
          </m:rPr>
          <m:t>log</m:t>
        </m:r>
        <m:r>
          <m:t>N</m:t>
        </m:r>
        <m:r>
          <m:rPr>
            <m:sty m:val="p"/>
          </m:rPr>
          <m:t>+</m:t>
        </m:r>
        <m:r>
          <m:t>q</m:t>
        </m:r>
        <m:r>
          <m:rPr>
            <m:sty m:val="p"/>
          </m:rPr>
          <m:t>(</m:t>
        </m:r>
        <m:r>
          <m:rPr>
            <m:sty m:val="p"/>
          </m:rPr>
          <m:t>log</m:t>
        </m:r>
        <m:r>
          <m:t>N</m:t>
        </m:r>
        <m:sSup>
          <m:e>
            <m:r>
              <m:rPr>
                <m:sty m:val="p"/>
              </m:rPr>
              <m:t>)</m:t>
            </m:r>
          </m:e>
          <m:sup>
            <m:r>
              <m:t>2</m:t>
            </m:r>
          </m:sup>
        </m:sSup>
      </m:oMath>
      <w:r>
        <w:t xml:space="preserve"> </w:t>
      </w:r>
      <w:r>
        <w:t xml:space="preserve">to the measured aggregate across the</w:t>
      </w:r>
      <w:r>
        <w:t xml:space="preserve"> </w:t>
      </w:r>
      <w:r>
        <w:t xml:space="preserve">18 runs gives a quadratic term of +0.0403, with a rung bootstrap</w:t>
      </w:r>
      <w:r>
        <w:t xml:space="preserve"> </w:t>
      </w:r>
      <w:r>
        <w:t xml:space="preserve">interval of [+0.0194, +0.0599] that excludes zero, and only</w:t>
      </w:r>
      <w:r>
        <w:t xml:space="preserve"> </w:t>
      </w:r>
      <w:r>
        <w:t xml:space="preserve">1.0% of resamples on the other side. Treating runs as independent,</w:t>
      </w:r>
      <w:r>
        <w:t xml:space="preserve"> </w:t>
      </w:r>
      <w:r>
        <w:t xml:space="preserve">which is optimistic and which we report only because it is the conventional test,</w:t>
      </w:r>
      <w:r>
        <w:t xml:space="preserve"> </w:t>
      </w:r>
      <w:r>
        <w:t xml:space="preserve">gives</w:t>
      </w:r>
      <w:r>
        <w:t xml:space="preserve"> </w:t>
      </w:r>
      <m:oMath>
        <m:r>
          <m:t>t</m:t>
        </m:r>
        <m:r>
          <m:rPr>
            <m:sty m:val="p"/>
          </m:rPr>
          <m:t>=</m:t>
        </m:r>
        <m:r>
          <m:t>8.61</m:t>
        </m:r>
      </m:oMath>
      <w:r>
        <w:t xml:space="preserve"> </w:t>
      </w:r>
      <w:r>
        <w:t xml:space="preserve">on 15 degrees of freedom. Adding the</w:t>
      </w:r>
      <w:r>
        <w:t xml:space="preserve"> </w:t>
      </w:r>
      <w:r>
        <w:t xml:space="preserve">quadratic term halves the residual, from 0.0280 to</w:t>
      </w:r>
      <w:r>
        <w:t xml:space="preserve"> </w:t>
      </w:r>
      <w:r>
        <w:t xml:space="preserve">0.0115, and is preferred by AIC.</w:t>
      </w:r>
    </w:p>
    <w:p>
      <w:pPr>
        <w:pStyle w:val="BodyText"/>
      </w:pPr>
      <w:r>
        <w:t xml:space="preserve">So a single power law is not merely inadequate beyond our range; it is a</w:t>
      </w:r>
      <w:r>
        <w:t xml:space="preserve"> </w:t>
      </w:r>
      <w:r>
        <w:t xml:space="preserve">demonstrably wrong model of the aggregate inside it, on eighteen runs across a</w:t>
      </w:r>
      <w:r>
        <w:t xml:space="preserve"> </w:t>
      </w:r>
      <w:r>
        <w:t xml:space="preserve">12-fold span, with no extrapolation involved.</w:t>
      </w:r>
    </w:p>
    <w:bookmarkEnd w:id="42"/>
    <w:bookmarkStart w:id="43" w:name="Xd50ca4d47f15543cd01426d84e3788236b50673"/>
    <w:p>
      <w:pPr>
        <w:pStyle w:val="Heading4"/>
      </w:pPr>
      <w:r>
        <w:t xml:space="preserve">Where that curvature comes from, and what it costs the argument.</w:t>
      </w:r>
    </w:p>
    <w:p>
      <w:pPr>
        <w:pStyle w:val="FirstParagraph"/>
      </w:pPr>
      <w:r>
        <w:t xml:space="preserve">If every category were an exact power law, the curvature the aggregate must show</w:t>
      </w:r>
      <w:r>
        <w:t xml:space="preserve"> </w:t>
      </w:r>
      <w:r>
        <w:t xml:space="preserve">would be fixed by the category coefficients alone. That implied value is</w:t>
      </w:r>
      <w:r>
        <w:t xml:space="preserve"> </w:t>
      </w:r>
      <w:r>
        <w:t xml:space="preserve">+0.0146 [+0.0087, +0.0257], against a</w:t>
      </w:r>
      <w:r>
        <w:t xml:space="preserve"> </w:t>
      </w:r>
      <w:r>
        <w:t xml:space="preserve">measured +0.0403. The total bends more than the decomposition can</w:t>
      </w:r>
      <w:r>
        <w:t xml:space="preserve"> </w:t>
      </w:r>
      <w:r>
        <w:t xml:space="preserve">produce, and the measured value lies outside the implied interval.</w:t>
      </w:r>
    </w:p>
    <w:p>
      <w:pPr>
        <w:pStyle w:val="BodyText"/>
      </w:pPr>
      <w:r>
        <w:t xml:space="preserve">We report the paired test rather than that comparison, because both quantities come</w:t>
      </w:r>
      <w:r>
        <w:t xml:space="preserve"> </w:t>
      </w:r>
      <w:r>
        <w:t xml:space="preserve">from the same eighteen runs. Refitting both on each rung resample, the gap is</w:t>
      </w:r>
      <w:r>
        <w:t xml:space="preserve"> </w:t>
      </w:r>
      <w:r>
        <w:t xml:space="preserve">+0.0257 [-0.0007, +0.0508], positive in</w:t>
      </w:r>
      <w:r>
        <w:t xml:space="preserve"> </w:t>
      </w:r>
      <w:r>
        <w:t xml:space="preserve">97% of resamples but with an interval that includes zero by a</w:t>
      </w:r>
      <w:r>
        <w:t xml:space="preserve"> </w:t>
      </w:r>
      <w:r>
        <w:t xml:space="preserve">narrow margin. On that test alone we could not claim the excess is established.</w:t>
      </w:r>
    </w:p>
    <w:p>
      <w:pPr>
        <w:pStyle w:val="BodyText"/>
      </w:pPr>
      <w:r>
        <w:t xml:space="preserve">The category fits settle it. Fitting each category quadratically,</w:t>
      </w:r>
      <w:r>
        <w:t xml:space="preserve"> </w:t>
      </w:r>
      <w:r>
        <w:t xml:space="preserve">1 of 5 shows curvature whose interval</w:t>
      </w:r>
      <w:r>
        <w:t xml:space="preserve"> </w:t>
      </w:r>
      <w:r>
        <w:t xml:space="preserve">excludes zero: the check category, at +0.0379</w:t>
      </w:r>
      <w:r>
        <w:t xml:space="preserve"> </w:t>
      </w:r>
      <w:r>
        <w:t xml:space="preserve">[+0.0069, +0.0697]. That is the shallowest category and</w:t>
      </w:r>
      <w:r>
        <w:t xml:space="preserve"> </w:t>
      </w:r>
      <w:r>
        <w:t xml:space="preserve">therefore the one that dominates the total at scale, so the aggregate inheriting</w:t>
      </w:r>
      <w:r>
        <w:t xml:space="preserve"> </w:t>
      </w:r>
      <w:r>
        <w:t xml:space="preserve">extra curvature from it is exactly what one would expect.</w:t>
      </w:r>
    </w:p>
    <w:p>
      <w:pPr>
        <w:pStyle w:val="BodyText"/>
      </w:pPr>
      <w:r>
        <w:t xml:space="preserve">This costs the paper its stronger reading and we would rather say so than let a</w:t>
      </w:r>
      <w:r>
        <w:t xml:space="preserve"> </w:t>
      </w:r>
      <w:r>
        <w:t xml:space="preserve">reader find it. We cannot claim the categories are well specified and only their</w:t>
      </w:r>
      <w:r>
        <w:t xml:space="preserve"> </w:t>
      </w:r>
      <w:r>
        <w:t xml:space="preserve">total is not. What survives is the two-part claim of Section </w:t>
      </w:r>
      <w:hyperlink w:anchor="sec:design">
        <w:r>
          <w:rPr>
            <w:rStyle w:val="Hyperlink"/>
          </w:rPr>
          <w:t xml:space="preserve">3</w:t>
        </w:r>
      </w:hyperlink>
      <w:r>
        <w:t xml:space="preserve">: the</w:t>
      </w:r>
      <w:r>
        <w:t xml:space="preserve"> </w:t>
      </w:r>
      <w:r>
        <w:t xml:space="preserve">arithmetic says that even exact category power laws cannot have a power-law total,</w:t>
      </w:r>
      <w:r>
        <w:t xml:space="preserve"> </w:t>
      </w:r>
      <w:r>
        <w:t xml:space="preserve">and the data say the categories are not exact power laws either. Both point the same</w:t>
      </w:r>
      <w:r>
        <w:t xml:space="preserve"> </w:t>
      </w:r>
      <w:r>
        <w:t xml:space="preserve">way, and the second makes a single fitted aggregate exponent a worse summary rather</w:t>
      </w:r>
      <w:r>
        <w:t xml:space="preserve"> </w:t>
      </w:r>
      <w:r>
        <w:t xml:space="preserve">than a better one. It also means the check category’s own exponent, which our</w:t>
      </w:r>
      <w:r>
        <w:t xml:space="preserve"> </w:t>
      </w:r>
      <w:r>
        <w:t xml:space="preserve">companion study reports as the quantity that does not fall with scale, is itself a</w:t>
      </w:r>
      <w:r>
        <w:t xml:space="preserve"> </w:t>
      </w:r>
      <w:r>
        <w:t xml:space="preserve">local slope; that does not affect its sign or the ordering that study reports, but a</w:t>
      </w:r>
      <w:r>
        <w:t xml:space="preserve"> </w:t>
      </w:r>
      <w:r>
        <w:t xml:space="preserve">reader extrapolating it should know it bends.</w:t>
      </w:r>
    </w:p>
    <w:bookmarkEnd w:id="43"/>
    <w:bookmarkStart w:id="44" w:name="do-the-two-consistent-forms-differ"/>
    <w:p>
      <w:pPr>
        <w:pStyle w:val="Heading4"/>
      </w:pPr>
      <w:r>
        <w:t xml:space="preserve">Do the two consistent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4"/>
    <w:bookmarkStart w:id="50"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5"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5"/>
    <w:bookmarkStart w:id="49" w:name="fig:derived"/>
    <w:p>
      <w:pPr>
        <w:pStyle w:val="CaptionedFigure"/>
      </w:pPr>
      <w:r>
        <w:drawing>
          <wp:inline>
            <wp:extent cx="5334000" cy="1993102"/>
            <wp:effectExtent b="0" l="0" r="0" t="0"/>
            <wp:docPr descr="" title="" id="47" name="Picture"/>
            <a:graphic>
              <a:graphicData uri="http://schemas.openxmlformats.org/drawingml/2006/picture">
                <pic:pic>
                  <pic:nvPicPr>
                    <pic:cNvPr descr="derived_vs_fitted.pdf" id="48" name="Picture"/>
                    <pic:cNvPicPr>
                      <a:picLocks noChangeArrowheads="1" noChangeAspect="1"/>
                    </pic:cNvPicPr>
                  </pic:nvPicPr>
                  <pic:blipFill>
                    <a:blip r:embed="rId46"/>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9"/>
    <w:bookmarkEnd w:id="50"/>
    <w:bookmarkStart w:id="51" w:name="X082de61a0a1180b942df614558d45d2a0b6cac2"/>
    <w:p>
      <w:pPr>
        <w:pStyle w:val="Heading4"/>
      </w:pPr>
      <w:r>
        <w:t xml:space="preserve">An illustration from a field that derives its total.</w:t>
      </w:r>
    </w:p>
    <w:p>
      <w:pPr>
        <w:pStyle w:val="FirstParagraph"/>
      </w:pPr>
      <w:r>
        <w:t xml:space="preserve">Word error rate is defined as the sum of substitutions, deletions and insertions, so</w:t>
      </w:r>
      <w:r>
        <w:t xml:space="preserve"> </w:t>
      </w:r>
      <w:r>
        <w:t xml:space="preserve">speech recognition derives its aggregate exactly as Equation </w:t>
      </w:r>
      <w:hyperlink w:anchor="eq:derived">
        <w:r>
          <w:rPr>
            <w:rStyle w:val="Hyperlink"/>
          </w:rPr>
          <w:t xml:space="preserve">[eq:derived]</w:t>
        </w:r>
      </w:hyperlink>
      <w:r>
        <w:t xml:space="preserve"> </w:t>
      </w:r>
      <w:r>
        <w:t xml:space="preserve">recommends and the conflict cannot arise there. Checking a recent published table</w:t>
      </w:r>
      <w:r>
        <w:t xml:space="preserve"> </w:t>
      </w:r>
      <w:r>
        <w:t xml:space="preserve">(Rossenbach et al. 2025)</w:t>
      </w:r>
      <w:r>
        <w:t xml:space="preserve"> </w:t>
      </w:r>
      <w:r>
        <w:t xml:space="preserve">confirms the identity holds in 11 of</w:t>
      </w:r>
      <w:r>
        <w:t xml:space="preserve"> </w:t>
      </w:r>
      <w:r>
        <w:t xml:space="preserve">11 rows, to within what rounding four printed quantities to one decimal</w:t>
      </w:r>
      <w:r>
        <w:t xml:space="preserve"> </w:t>
      </w:r>
      <w:r>
        <w:t xml:space="preserve">permits. We offer this as an illustration of the convention rather than as evidence</w:t>
      </w:r>
      <w:r>
        <w:t xml:space="preserve"> </w:t>
      </w:r>
      <w:r>
        <w:t xml:space="preserve">about the literature: where the total is defined as a sum, verifying it adds up is</w:t>
      </w:r>
      <w:r>
        <w:t xml:space="preserve"> </w:t>
      </w:r>
      <w:r>
        <w:t xml:space="preserve">arithmetic, not a methodological finding. We have not established how often the</w:t>
      </w:r>
      <w:r>
        <w:t xml:space="preserve"> </w:t>
      </w:r>
      <w:r>
        <w:t xml:space="preserve">failing configuration occurs in scaling analyses, and Section </w:t>
      </w:r>
      <w:hyperlink w:anchor="sec:limits">
        <w:r>
          <w:rPr>
            <w:rStyle w:val="Hyperlink"/>
          </w:rPr>
          <w:t xml:space="preserve">10</w:t>
        </w:r>
      </w:hyperlink>
      <w:r>
        <w:t xml:space="preserve"> </w:t>
      </w:r>
      <w:r>
        <w:t xml:space="preserve">says</w:t>
      </w:r>
      <w:r>
        <w:t xml:space="preserve"> </w:t>
      </w:r>
      <w:r>
        <w:t xml:space="preserve">so.</w:t>
      </w:r>
    </w:p>
    <w:bookmarkEnd w:id="51"/>
    <w:bookmarkStart w:id="52"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2"/>
    <w:bookmarkStart w:id="53"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consistently,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3"/>
    <w:bookmarkStart w:id="54"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derived total that error diversity should collapse with scale, since the</w:t>
      </w:r>
      <w:r>
        <w:t xml:space="preserve"> </w:t>
      </w:r>
      <w:r>
        <w:t xml:space="preserve">shallowest category must eventually dominate it,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4"/>
    <w:bookmarkEnd w:id="55"/>
    <w:bookmarkStart w:id="60" w:name="sec:discussion"/>
    <w:p>
      <w:pPr>
        <w:pStyle w:val="Heading1"/>
      </w:pPr>
      <w:r>
        <w:t xml:space="preserve">Discussion</w:t>
      </w:r>
    </w:p>
    <w:bookmarkStart w:id="56"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summing the parts is arithmetic;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derived total gives</w:t>
      </w:r>
      <w:r>
        <w:t xml:space="preserve"> </w:t>
      </w:r>
      <w:r>
        <w:t xml:space="preserve">somewhere to go that needs no estimation at all. A criticism that arrives with a</w:t>
      </w:r>
      <w:r>
        <w:t xml:space="preserve"> </w:t>
      </w:r>
      <w:r>
        <w:t xml:space="preserve">remedy priced at zero is adopted; one that arrives as a warning is filed.</w:t>
      </w:r>
    </w:p>
    <w:bookmarkEnd w:id="56"/>
    <w:bookmarkStart w:id="57"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7"/>
    <w:bookmarkStart w:id="58"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8"/>
    <w:bookmarkStart w:id="59"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9"/>
    <w:bookmarkEnd w:id="60"/>
    <w:bookmarkStart w:id="66" w:name="sec:implications"/>
    <w:p>
      <w:pPr>
        <w:pStyle w:val="Heading1"/>
      </w:pPr>
      <w:r>
        <w:t xml:space="preserve">Implications for Individuals, Organisations, and Society</w:t>
      </w:r>
    </w:p>
    <w:bookmarkStart w:id="61" w:name="X5607ec1ed445a25589bfe2325c0480f28f41d38"/>
    <w:p>
      <w:pPr>
        <w:pStyle w:val="Heading4"/>
      </w:pPr>
      <w:r>
        <w:t xml:space="preserve">For the people affected by the systems these forecasts govern.</w:t>
      </w:r>
    </w:p>
    <w:p>
      <w:pPr>
        <w:pStyle w:val="FirstParagraph"/>
      </w:pPr>
      <w:r>
        <w:t xml:space="preserve">These forecasts decide which defects get fixed and which are left for the next model</w:t>
      </w:r>
      <w:r>
        <w:t xml:space="preserve"> </w:t>
      </w:r>
      <w:r>
        <w:t xml:space="preserve">to cure, and the deferral is felt by whoever receives the defect that was left.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Those who carry the cost of an over-optimistic roadmap rarely wrote it and cannot</w:t>
      </w:r>
      <w:r>
        <w:t xml:space="preserve"> </w:t>
      </w:r>
      <w:r>
        <w:t xml:space="preserve">contest an analysis they never see; a test that runs on published coefficients gives</w:t>
      </w:r>
      <w:r>
        <w:t xml:space="preserve"> </w:t>
      </w:r>
      <w:r>
        <w:t xml:space="preserve">an advocate or a regulator something concrete to ask for.</w:t>
      </w:r>
    </w:p>
    <w:bookmarkEnd w:id="61"/>
    <w:bookmarkStart w:id="62" w:name="a-worked-procurement-check."/>
    <w:p>
      <w:pPr>
        <w:pStyle w:val="Heading4"/>
      </w:pPr>
      <w:r>
        <w:t xml:space="preserve">A worked procurement check.</w:t>
      </w:r>
    </w:p>
    <w:p>
      <w:pPr>
        <w:pStyle w:val="FirstParagraph"/>
      </w:pPr>
      <w:r>
        <w:t xml:space="preserve">The artifact is meant to be used by someone deciding whether to sign, so we set out</w:t>
      </w:r>
      <w:r>
        <w:t xml:space="preserve"> </w:t>
      </w:r>
      <w:r>
        <w:t xml:space="preserve">what that looks like with the numbers a buyer would actually hold. Suppose a</w:t>
      </w:r>
      <w:r>
        <w:t xml:space="preserve"> </w:t>
      </w:r>
      <w:r>
        <w:t xml:space="preserve">supplier of a document-processing service argues against funding a mitigation</w:t>
      </w:r>
      <w:r>
        <w:t xml:space="preserve"> </w:t>
      </w:r>
      <w:r>
        <w:t xml:space="preserve">programme on the grounds that the error class in question is on a steep curve. The</w:t>
      </w:r>
      <w:r>
        <w:t xml:space="preserve"> </w:t>
      </w:r>
      <w:r>
        <w:t xml:space="preserve">buyer asks for one thing: the fitted coefficients behind that claim, an exponent and</w:t>
      </w:r>
      <w:r>
        <w:t xml:space="preserve"> </w:t>
      </w:r>
      <w:r>
        <w:t xml:space="preserve">an intercept for each error class and for the overall error rate, together with the</w:t>
      </w:r>
      <w:r>
        <w:t xml:space="preserve"> </w:t>
      </w:r>
      <w:r>
        <w:t xml:space="preserve">range of model sizes they were fitted on. These are not proprietary; they are what</w:t>
      </w:r>
      <w:r>
        <w:t xml:space="preserve"> </w:t>
      </w:r>
      <w:r>
        <w:t xml:space="preserve">the supplier’s own analyst already computed, and a supplier unwilling to provide</w:t>
      </w:r>
      <w:r>
        <w:t xml:space="preserve"> </w:t>
      </w:r>
      <w:r>
        <w:t xml:space="preserve">them has answered a different question.</w:t>
      </w:r>
    </w:p>
    <w:p>
      <w:pPr>
        <w:pStyle w:val="BodyText"/>
      </w:pPr>
      <w:r>
        <w:t xml:space="preserve">Running the check on our own ladder’s coefficients, which stand here for the</w:t>
      </w:r>
      <w:r>
        <w:t xml:space="preserve"> </w:t>
      </w:r>
      <w:r>
        <w:t xml:space="preserve">supplier’s, returns: largest class exponent</w:t>
      </w:r>
      <w:r>
        <w:t xml:space="preserve"> </w:t>
      </w:r>
      <m:oMath>
        <m:r>
          <m:rPr>
            <m:sty m:val="p"/>
          </m:rPr>
          <m:t>−</m:t>
        </m:r>
      </m:oMath>
      <w:r>
        <w:t xml:space="preserve">0.112 against an overall</w:t>
      </w:r>
      <w:r>
        <w:t xml:space="preserve"> </w:t>
      </w:r>
      <w:r>
        <w:t xml:space="preserve">exponent of</w:t>
      </w:r>
      <w:r>
        <w:t xml:space="preserve"> </w:t>
      </w:r>
      <m:oMath>
        <m:r>
          <m:rPr>
            <m:sty m:val="p"/>
          </m:rPr>
          <m:t>−</m:t>
        </m:r>
      </m:oMath>
      <w:r>
        <w:t xml:space="preserve">0.267, so the classes outgrow the total they belong to,</w:t>
      </w:r>
      <w:r>
        <w:t xml:space="preserve"> </w:t>
      </w:r>
      <w:r>
        <w:t xml:space="preserve">and a threshold of 174M parameters</w:t>
      </w:r>
      <w:r>
        <w:t xml:space="preserve"> </w:t>
      </w:r>
      <w:r>
        <w:t xml:space="preserve">[57M, 635M] past which the two reports</w:t>
      </w:r>
      <w:r>
        <w:t xml:space="preserve"> </w:t>
      </w:r>
      <w:r>
        <w:t xml:space="preserve">contradict each other by more than a tenth. The buyer compares that threshold with</w:t>
      </w:r>
      <w:r>
        <w:t xml:space="preserve"> </w:t>
      </w:r>
      <w:r>
        <w:t xml:space="preserve">the scale the supplier’s roadmap actually invokes. If the roadmap points at a model</w:t>
      </w:r>
      <w:r>
        <w:t xml:space="preserve"> </w:t>
      </w:r>
      <w:r>
        <w:t xml:space="preserve">ten times larger than the threshold, as ours did, the claim being made is not</w:t>
      </w:r>
      <w:r>
        <w:t xml:space="preserve"> </w:t>
      </w:r>
      <w:r>
        <w:t xml:space="preserve">supported by the analysis behind it, and the right response is not to reject the</w:t>
      </w:r>
      <w:r>
        <w:t xml:space="preserve"> </w:t>
      </w:r>
      <w:r>
        <w:t xml:space="preserve">supplier but to ask for the forecast restated up to the threshold, or restated with</w:t>
      </w:r>
      <w:r>
        <w:t xml:space="preserve"> </w:t>
      </w:r>
      <w:r>
        <w:t xml:space="preserve">the total derived rather than fitted. Both are cheap for the supplier to produce,</w:t>
      </w:r>
      <w:r>
        <w:t xml:space="preserve"> </w:t>
      </w:r>
      <w:r>
        <w:t xml:space="preserve">which is what makes the request reasonable to put in a contract schedule.</w:t>
      </w:r>
    </w:p>
    <w:p>
      <w:pPr>
        <w:pStyle w:val="BodyText"/>
      </w:pPr>
      <w:r>
        <w:t xml:space="preserve">Two things make this usable rather than aspirational. It needs no access to weights,</w:t>
      </w:r>
      <w:r>
        <w:t xml:space="preserve"> </w:t>
      </w:r>
      <w:r>
        <w:t xml:space="preserve">data, or evaluation harness, so it survives a supplier’s confidentiality position.</w:t>
      </w:r>
      <w:r>
        <w:t xml:space="preserve"> </w:t>
      </w:r>
      <w:r>
        <w:t xml:space="preserve">And it produces a dated artefact, the coefficients and the threshold, that an</w:t>
      </w:r>
      <w:r>
        <w:t xml:space="preserve"> </w:t>
      </w:r>
      <w:r>
        <w:t xml:space="preserve">internal auditor can read later without reconstructing anyone’s reasoning.</w:t>
      </w:r>
    </w:p>
    <w:bookmarkEnd w:id="62"/>
    <w:bookmarkStart w:id="63"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 consistency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3"/>
    <w:bookmarkStart w:id="64" w:name="strategic-implications."/>
    <w:p>
      <w:pPr>
        <w:pStyle w:val="Heading4"/>
      </w:pPr>
      <w:r>
        <w:t xml:space="preserve">Strategic implications.</w:t>
      </w:r>
    </w:p>
    <w:p>
      <w:pPr>
        <w:pStyle w:val="FirstParagraph"/>
      </w:pPr>
      <w:r>
        <w:t xml:space="preserve">Treat forecast consistency as an ownership question. An organisation that can audit</w:t>
      </w:r>
      <w:r>
        <w:t xml:space="preserve"> </w:t>
      </w:r>
      <w:r>
        <w:t xml:space="preserve">capability claims in-house does not depend on its suppliers’ analysts for the most</w:t>
      </w:r>
      <w:r>
        <w:t xml:space="preserve"> </w:t>
      </w:r>
      <w:r>
        <w:t xml:space="preserve">consequential input to its own roadmap, and the check needs no proprietary data, so</w:t>
      </w:r>
      <w:r>
        <w:t xml:space="preserve"> </w:t>
      </w:r>
      <w:r>
        <w:t xml:space="preserve">it is available to firms that could not staff an evaluation science function. It is</w:t>
      </w:r>
      <w:r>
        <w:t xml:space="preserve"> </w:t>
      </w:r>
      <w:r>
        <w:t xml:space="preserve">also an accountability asset rather than an overhead: a record that the forecasts</w:t>
      </w:r>
      <w:r>
        <w:t xml:space="preserve"> </w:t>
      </w:r>
      <w:r>
        <w:t xml:space="preserve">behind a deployment decision were tested is created as a by-product of doing the</w:t>
      </w:r>
      <w:r>
        <w:t xml:space="preserve"> </w:t>
      </w:r>
      <w:r>
        <w:t xml:space="preserve">analysis properly.</w:t>
      </w:r>
    </w:p>
    <w:bookmarkEnd w:id="64"/>
    <w:bookmarkStart w:id="65"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5"/>
    <w:bookmarkEnd w:id="66"/>
    <w:bookmarkStart w:id="67"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consistency argument is arithmetic and does not depend on the domain, but the</w:t>
      </w:r>
      <w:r>
        <w:t xml:space="preserve"> </w:t>
      </w:r>
      <w:r>
        <w:t xml:space="preserve">empirical demonstration does.</w:t>
      </w:r>
    </w:p>
    <w:p>
      <w:pPr>
        <w:pStyle w:val="BodyText"/>
      </w:pPr>
      <w:r>
        <w:t xml:space="preserve">One of</w:t>
      </w:r>
      <w:r>
        <w:t xml:space="preserve"> </w:t>
      </w:r>
      <w:r>
        <w:t xml:space="preserve">5 shows detectable log-log curvature, so the paper’s condition</w:t>
      </w:r>
      <w:r>
        <w:t xml:space="preserve"> </w:t>
      </w:r>
      <w:r>
        <w:t xml:space="preserve">is what survives rather than a claim that only the aggregate is misspecified. A</w:t>
      </w:r>
      <w:r>
        <w:t xml:space="preserve"> </w:t>
      </w:r>
      <w:r>
        <w:t xml:space="preserve">fuller treatment would model every level with a form that admits curvature, which</w:t>
      </w:r>
      <w:r>
        <w:t xml:space="preserve"> </w:t>
      </w:r>
      <w:r>
        <w:t xml:space="preserve">would change the coefficients while leaving the condition untouched.</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7"/>
    <w:bookmarkStart w:id="68"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Refit every level of the decomposition with a form that admits</w:t>
      </w:r>
      <w:r>
        <w:t xml:space="preserve"> </w:t>
      </w:r>
      <w:r>
        <w:t xml:space="preserve">curvature, such as a broken or multi-term law, and establish whether the consistency</w:t>
      </w:r>
      <w:r>
        <w:t xml:space="preserve"> </w:t>
      </w:r>
      <w:r>
        <w:t xml:space="preserve">condition has an analogue once neither the parts nor the whole are power laws, which</w:t>
      </w:r>
      <w:r>
        <w:t xml:space="preserve"> </w:t>
      </w:r>
      <w:r>
        <w:t xml:space="preserve">we expect it does but have not derived.</w:t>
      </w:r>
    </w:p>
    <w:p>
      <w:pPr>
        <w:pStyle w:val="BodyText"/>
      </w:pPr>
      <w:r>
        <w:t xml:space="preserve">Compare the estimation losses rather than the links, since the derived</w:t>
      </w:r>
      <w:r>
        <w:t xml:space="preserve"> </w:t>
      </w:r>
      <w:r>
        <w:t xml:space="preserve">total and the compositional fit are the same model: establish whether fitting in</w:t>
      </w:r>
      <w:r>
        <w:t xml:space="preserve"> </w:t>
      </w:r>
      <w:r>
        <w:t xml:space="preserve">log-rate space or in share space is preferable when category rates are small and</w:t>
      </w:r>
      <w:r>
        <w:t xml:space="preserve"> </w:t>
      </w:r>
      <w:r>
        <w:t xml:space="preserve">sampling error is asymmetric, which is the only remaining choice an analyst faces.</w:t>
      </w:r>
    </w:p>
    <w:p>
      <w:pPr>
        <w:pStyle w:val="BodyText"/>
      </w:pPr>
      <w:r>
        <w:t xml:space="preserve">Extend the independent replication to a family with more checkpoints, so</w:t>
      </w:r>
      <w:r>
        <w:t xml:space="preserve"> </w:t>
      </w:r>
      <w:r>
        <w:t xml:space="preserve">that consistency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8"/>
    <w:bookmarkStart w:id="69"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9"/>
    <w:bookmarkStart w:id="88"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code, the measurement artefacts, and the generated manuscript sources will be</w:t>
      </w:r>
      <w:r>
        <w:t xml:space="preserve"> </w:t>
      </w:r>
      <w:r>
        <w:t xml:space="preserve">made available upon acceptance.</w:t>
      </w:r>
    </w:p>
    <w:bookmarkEnd w:id="72"/>
    <w:bookmarkStart w:id="87"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6" w:name="refs"/>
    <w:bookmarkStart w:id="73"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3"/>
    <w:bookmarkStart w:id="74"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4"/>
    <w:bookmarkStart w:id="76"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5">
        <w:r>
          <w:rPr>
            <w:rStyle w:val="Hyperlink"/>
          </w:rPr>
          <w:t xml:space="preserve">https://doi.org/10.25300/MISQ/2013/37.2.01</w:t>
        </w:r>
      </w:hyperlink>
      <w:r>
        <w:t xml:space="preserve">.</w:t>
      </w:r>
    </w:p>
    <w:bookmarkEnd w:id="76"/>
    <w:bookmarkStart w:id="78"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7">
        <w:r>
          <w:rPr>
            <w:rStyle w:val="Hyperlink"/>
          </w:rPr>
          <w:t xml:space="preserve">https://doi.org/10.2307/25148625</w:t>
        </w:r>
      </w:hyperlink>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3"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2">
        <w:r>
          <w:rPr>
            <w:rStyle w:val="Hyperlink"/>
          </w:rPr>
          <w:t xml:space="preserve">https://doi.org/10.2753/MIS0742-1222240302</w:t>
        </w:r>
      </w:hyperlink>
      <w:r>
        <w:t xml:space="preserve">.</w:t>
      </w:r>
    </w:p>
    <w:bookmarkEnd w:id="83"/>
    <w:bookmarkStart w:id="84" w:name="ref-amit2025loquacious"/>
    <w:p>
      <w:pPr>
        <w:pStyle w:val="Bibliography"/>
      </w:pPr>
      <w:r>
        <w:t xml:space="preserve">Rossenbach, Nick, Robin Schmitt, Tina Raissi, Simon Berger, Larissa Kleppel, and Ralf Schlüter.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4"/>
    <w:bookmarkStart w:id="85"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5"/>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df" /><Relationship Type="http://schemas.openxmlformats.org/officeDocument/2006/relationships/hyperlink" Id="rId77" Target="https://doi.org/10.2307/25148625" TargetMode="External" /><Relationship Type="http://schemas.openxmlformats.org/officeDocument/2006/relationships/hyperlink" Id="rId75" Target="https://doi.org/10.25300/MISQ/2013/37.2.01" TargetMode="External" /><Relationship Type="http://schemas.openxmlformats.org/officeDocument/2006/relationships/hyperlink" Id="rId82" Target="https://doi.org/10.2753/MIS0742-1222240302"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307/25148625" TargetMode="External" /><Relationship Type="http://schemas.openxmlformats.org/officeDocument/2006/relationships/hyperlink" Id="rId75" Target="https://doi.org/10.25300/MISQ/2013/37.2.01" TargetMode="External" /><Relationship Type="http://schemas.openxmlformats.org/officeDocument/2006/relationships/hyperlink" Id="rId82" Target="https://doi.org/10.2753/MIS0742-12222403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Author names and affiliations removed for double-anonymous peer review</dc:creator>
  <cp:keywords/>
  <dcterms:created xsi:type="dcterms:W3CDTF">2026-09-19T09:21:04Z</dcterms:created>
  <dcterms:modified xsi:type="dcterms:W3CDTF">2026-09-19T09:21:04Z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decide where to spend an artificial intelligence budget by asking which of a system’s failures the next model generation will remove on its own. The usual evidence is a decomposition: sort the errors into categories and fit a scaling curve to each.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The conflict is not only asymptotic. On our data the aggregate’s curvature is detectable inside the observed range, a quadratic term of +0.0403 [+0.0194, +0.0599] that excludes zero and halves the residual, so a single power law is a demonstrably wrong model of the total where the data actually are. Extrapolated, the fitted parts reach 1.27 times the fitted whole at one billion parameters. The repair is to derive the total from the parts rather than fit it separately, which needs no new machinery; what it costs is the aggregate exponent itself, whose effective slope drifts from -0.299 to -0.174, covering 27% of the span of the category exponents it is meant to summarise. We contribute the consistency condition, a diagnostic needing only the coefficients a study already prints,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