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 Finally, these</w:t>
      </w:r>
      <w:r>
        <w:t xml:space="preserve"> </w:t>
      </w:r>
      <w:r>
        <w:t xml:space="preserve">per-category fits and a separately fitted aggregate cannot both hold, since a sum of</w:t>
      </w:r>
      <w:r>
        <w:t xml:space="preserve"> </w:t>
      </w:r>
      <w:r>
        <w:t xml:space="preserve">power laws is not a power 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2"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Geometry</w:t>
      </w:r>
      <w:r>
        <w:t xml:space="preserve"> </w:t>
      </w:r>
      <w:r>
        <w:t xml:space="preserve">depends on intervening squares, and check on the positions of every attacker.</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8"/>
    <w:bookmarkStart w:id="19"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19"/>
    <w:bookmarkStart w:id="20"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0"/>
    <w:bookmarkStart w:id="21"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1"/>
    <w:bookmarkEnd w:id="22"/>
    <w:bookmarkStart w:id="31" w:name="sec:scaling"/>
    <w:p>
      <w:pPr>
        <w:pStyle w:val="Heading1"/>
      </w:pPr>
      <w:r>
        <w:t xml:space="preserve">Differential Scaling</w:t>
      </w:r>
    </w:p>
    <w:bookmarkStart w:id="23"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3"/>
    <w:bookmarkStart w:id="27" w:name="fig:scaling"/>
    <w:p>
      <w:pPr>
        <w:pStyle w:val="CaptionedFigure"/>
      </w:pPr>
      <w:r>
        <w:drawing>
          <wp:inline>
            <wp:extent cx="5334000" cy="1981200"/>
            <wp:effectExtent b="0" l="0" r="0" t="0"/>
            <wp:docPr descr="" title="" id="25" name="Picture"/>
            <a:graphic>
              <a:graphicData uri="http://schemas.openxmlformats.org/drawingml/2006/picture">
                <pic:pic>
                  <pic:nvPicPr>
                    <pic:cNvPr descr="scaling.png" id="26" name="Picture"/>
                    <pic:cNvPicPr>
                      <a:picLocks noChangeArrowheads="1" noChangeAspect="1"/>
                    </pic:cNvPicPr>
                  </pic:nvPicPr>
                  <pic:blipFill>
                    <a:blip r:embed="rId24"/>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7"/>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8"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28"/>
    <w:bookmarkStart w:id="29"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from 0.444</w:t>
      </w:r>
      <w:r>
        <w:t xml:space="preserve"> </w:t>
      </w:r>
      <w:r>
        <w:t xml:space="preserve">at our largest rung to 0.588 at one billion and 0.769</w:t>
      </w:r>
      <w:r>
        <w:t xml:space="preserve"> </w:t>
      </w:r>
      <w:r>
        <w:t xml:space="preserve">at one trillion, approaching but never exceeding 0.871, while the</w:t>
      </w:r>
      <w:r>
        <w:t xml:space="preserve"> </w:t>
      </w:r>
      <w:r>
        <w:t xml:space="preserve">locally decidable categories fall to 0.001. The paper’s qualitative</w:t>
      </w:r>
      <w:r>
        <w:t xml:space="preserve"> </w:t>
      </w:r>
      <w:r>
        <w:t xml:space="preserve">claim is unchanged. What changes is that the projection is now bounded by</w:t>
      </w:r>
      <w:r>
        <w:t xml:space="preserve"> </w:t>
      </w:r>
      <w:r>
        <w:t xml:space="preserve">construction, so the figures above are statements the categories can jointly</w:t>
      </w:r>
      <w:r>
        <w:t xml:space="preserve"> </w:t>
      </w:r>
      <w:r>
        <w:t xml:space="preserve">satisfy, which the earlier ones were not.</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rises from 0.308 at our largest rung to</w:t>
      </w:r>
      <w:r>
        <w:t xml:space="preserve"> </w:t>
      </w:r>
      <w:r>
        <w:t xml:space="preserve">0.596 at one billion and 0.951 at one trillion, having</w:t>
      </w:r>
      <w:r>
        <w:t xml:space="preserve"> </w:t>
      </w:r>
      <w:r>
        <w:t xml:space="preserve">been observed between 0.148 and 0.321.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29"/>
    <w:bookmarkStart w:id="30"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 So any per-category scaling fit whose exponents</w:t>
      </w:r>
      <w:r>
        <w:t xml:space="preserve"> </w:t>
      </w:r>
      <w:r>
        <w:t xml:space="preserve">differ at all, which is the entire reason for reporting them separately, must</w:t>
      </w:r>
      <w:r>
        <w:t xml:space="preserve"> </w:t>
      </w:r>
      <w:r>
        <w:t xml:space="preserve">describe an impossibility beyond some finite scale. That scale is computable from</w:t>
      </w:r>
      <w:r>
        <w:t xml:space="preserve"> </w:t>
      </w:r>
      <w:r>
        <w:t xml:space="preserve">the reported exponents alone: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30"/>
    <w:bookmarkEnd w:id="31"/>
    <w:bookmarkStart w:id="38" w:name="sec:external"/>
    <w:p>
      <w:pPr>
        <w:pStyle w:val="Heading1"/>
      </w:pPr>
      <w:r>
        <w:t xml:space="preserve">External Validity</w:t>
      </w:r>
    </w:p>
    <w:bookmarkStart w:id="32"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2"/>
    <w:bookmarkStart w:id="34"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3"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3"/>
    <w:bookmarkEnd w:id="34"/>
    <w:bookmarkStart w:id="35"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5"/>
    <w:bookmarkStart w:id="37"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6"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6"/>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7"/>
    <w:bookmarkEnd w:id="38"/>
    <w:bookmarkStart w:id="43"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39"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39"/>
    <w:bookmarkStart w:id="41"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40"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40"/>
    <w:bookmarkEnd w:id="41"/>
    <w:bookmarkStart w:id="42"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2"/>
    <w:bookmarkEnd w:id="43"/>
    <w:bookmarkStart w:id="45"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4"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4"/>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5"/>
    <w:bookmarkStart w:id="46"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0.490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6"/>
    <w:bookmarkStart w:id="47"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7"/>
    <w:bookmarkStart w:id="48"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8"/>
    <w:bookmarkStart w:id="53" w:name="declarations"/>
    <w:p>
      <w:pPr>
        <w:pStyle w:val="Heading1"/>
      </w:pPr>
      <w:r>
        <w:t xml:space="preserve">Declarations</w:t>
      </w:r>
    </w:p>
    <w:bookmarkStart w:id="49" w:name="disclosure-statement."/>
    <w:p>
      <w:pPr>
        <w:pStyle w:val="Heading4"/>
      </w:pPr>
      <w:r>
        <w:t xml:space="preserve">Disclosure statement.</w:t>
      </w:r>
    </w:p>
    <w:p>
      <w:pPr>
        <w:pStyle w:val="FirstParagraph"/>
      </w:pPr>
      <w:r>
        <w:t xml:space="preserve">Removed for double-anonymous peer review.</w:t>
      </w:r>
    </w:p>
    <w:bookmarkEnd w:id="49"/>
    <w:bookmarkStart w:id="50" w:name="funding."/>
    <w:p>
      <w:pPr>
        <w:pStyle w:val="Heading4"/>
      </w:pPr>
      <w:r>
        <w:t xml:space="preserve">Funding.</w:t>
      </w:r>
    </w:p>
    <w:p>
      <w:pPr>
        <w:pStyle w:val="FirstParagraph"/>
      </w:pPr>
      <w:r>
        <w:t xml:space="preserve">Removed for double-anonymous peer review.</w:t>
      </w:r>
    </w:p>
    <w:bookmarkEnd w:id="50"/>
    <w:bookmarkStart w:id="51" w:name="data-availability-statement."/>
    <w:p>
      <w:pPr>
        <w:pStyle w:val="Heading4"/>
      </w:pPr>
      <w:r>
        <w:t xml:space="preserve">Data availability statement.</w:t>
      </w:r>
    </w:p>
    <w:p>
      <w:pPr>
        <w:pStyle w:val="FirstParagraph"/>
      </w:pPr>
      <w:r>
        <w:t xml:space="preserve">Trained checkpoints, analysis code, and every result file cited by the manuscript</w:t>
      </w:r>
      <w:r>
        <w:t xml:space="preserve"> </w:t>
      </w:r>
      <w:r>
        <w:t xml:space="preserve">are available from the corresponding author on reasonable request. External</w:t>
      </w:r>
      <w:r>
        <w:t xml:space="preserve"> </w:t>
      </w:r>
      <w:r>
        <w:t xml:space="preserve">checkpoints are public.</w:t>
      </w:r>
    </w:p>
    <w:bookmarkEnd w:id="51"/>
    <w:bookmarkStart w:id="52"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52"/>
    <w:bookmarkEnd w:id="53"/>
    <w:bookmarkStart w:id="54"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4"/>
    <w:bookmarkStart w:id="74"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3" w:name="refs"/>
    <w:bookmarkStart w:id="55"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5"/>
    <w:bookmarkStart w:id="56"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6"/>
    <w:bookmarkStart w:id="57"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7"/>
    <w:bookmarkStart w:id="58"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58"/>
    <w:bookmarkStart w:id="59"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59"/>
    <w:bookmarkStart w:id="60"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60"/>
    <w:bookmarkStart w:id="61"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61"/>
    <w:bookmarkStart w:id="62"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62"/>
    <w:bookmarkStart w:id="63"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63"/>
    <w:bookmarkStart w:id="64"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4"/>
    <w:bookmarkStart w:id="66"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5">
        <w:r>
          <w:rPr>
            <w:rStyle w:val="Hyperlink"/>
          </w:rPr>
          <w:t xml:space="preserve">https://doi.org/10.18653/v1/2023.blackboxnlp-1.2</w:t>
        </w:r>
      </w:hyperlink>
      <w:r>
        <w:t xml:space="preserve">.</w:t>
      </w:r>
    </w:p>
    <w:bookmarkEnd w:id="66"/>
    <w:bookmarkStart w:id="67"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7"/>
    <w:bookmarkStart w:id="69"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68">
        <w:r>
          <w:rPr>
            <w:rStyle w:val="Hyperlink"/>
          </w:rPr>
          <w:t xml:space="preserve">https://doi.org/10.1609/aaai.v36i10.21390</w:t>
        </w:r>
      </w:hyperlink>
      <w:r>
        <w:t xml:space="preserve">.</w:t>
      </w:r>
    </w:p>
    <w:bookmarkEnd w:id="69"/>
    <w:bookmarkStart w:id="70"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70"/>
    <w:bookmarkStart w:id="71"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71"/>
    <w:bookmarkStart w:id="72"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68" Target="https://doi.org/10.1609/aaai.v36i10.21390" TargetMode="External" /><Relationship Type="http://schemas.openxmlformats.org/officeDocument/2006/relationships/hyperlink" Id="rId65"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609/aaai.v36i10.21390" TargetMode="External" /><Relationship Type="http://schemas.openxmlformats.org/officeDocument/2006/relationships/hyperlink" Id="rId65"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2026-09-19T09:21:19Z</dcterms:created>
  <dcterms:modified xsi:type="dcterms:W3CDTF">2026-09-19T09:21:19Z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 Finally, these per-category fits and a separately fitted aggregate cannot both hold, since a sum of power laws is not a power law; we derive the total from the categories instead.</vt:lpwstr>
  </property>
  <property fmtid="{D5CDD505-2E9C-101B-9397-08002B2CF9AE}" pid="3" name="bibliography">
    <vt:lpwstr/>
  </property>
  <property fmtid="{D5CDD505-2E9C-101B-9397-08002B2CF9AE}" pid="4" name="date">
    <vt:lpwstr/>
  </property>
</Properties>
</file>