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w:t>
      </w:r>
      <w:r>
        <w:t xml:space="preserve"> </w:t>
      </w:r>
      <w:r>
        <w:t xml:space="preserve">per-category scaling fits are not closed: our own extrapolated shares sum to</w:t>
      </w:r>
      <w:r>
        <w:t xml:space="preserve"> </w:t>
      </w:r>
      <w:r>
        <w:t xml:space="preserve">1.34 at one billion parameters. Fitting the composition on the simplex</w:t>
      </w:r>
      <w:r>
        <w:t xml:space="preserve"> </w:t>
      </w:r>
      <w:r>
        <w:t xml:space="preserve">fits better in range, and moves the projection from an impossible one to a peak.</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0"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Six independently fitted power laws</w:t>
      </w:r>
      <w:r>
        <w:t xml:space="preserve"> </w:t>
      </w:r>
      <w:r>
        <w:t xml:space="preserve">with six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w:t>
      </w:r>
      <w:r>
        <w:t xml:space="preserve"> </w:t>
      </w:r>
      <w:r>
        <w:t xml:space="preserve">shares gives 1.02 at our largest rung, which is fit noise, but</w:t>
      </w:r>
      <w:r>
        <w:t xml:space="preserve"> </w:t>
      </w:r>
      <w:r>
        <w:t xml:space="preserve">1.34 at one billion parameters and 3.93 at one trillion,</w:t>
      </w:r>
      <w:r>
        <w:t xml:space="preserve"> </w:t>
      </w:r>
      <w:r>
        <w:t xml:space="preserve">where the single largest category is assigned 2.65 of the failures.</w:t>
      </w:r>
      <w:r>
        <w:t xml:space="preserve"> </w:t>
      </w:r>
      <w:r>
        <w:t xml:space="preserve">A category holding more than all of them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We model the shares with a softmax linear in</w:t>
      </w:r>
      <w:r>
        <w:t xml:space="preserve"> </w:t>
      </w:r>
      <m:oMath>
        <m:r>
          <m:rPr>
            <m:sty m:val="p"/>
          </m:rPr>
          <m:t>log</m:t>
        </m:r>
        <m:r>
          <m:t>N</m:t>
        </m:r>
      </m:oMath>
      <w:r>
        <w:t xml:space="preserve">, which is closed by</w:t>
      </w:r>
      <w:r>
        <w:t xml:space="preserve"> </w:t>
      </w:r>
      <w:r>
        <w:t xml:space="preserve">construction: the shares sum to one at every scale and for every parameter value,</w:t>
      </w:r>
      <w:r>
        <w:t xml:space="preserve"> </w:t>
      </w:r>
      <w:r>
        <w:t xml:space="preserve">so a category can never be assigned more failures than occur. The illegal-move</w:t>
      </w:r>
      <w:r>
        <w:t xml:space="preserve"> </w:t>
      </w:r>
      <w:r>
        <w:t xml:space="preserve">rate keeps its own power law, which is legitimate because the total is not a part</w:t>
      </w:r>
      <w:r>
        <w:t xml:space="preserve"> </w:t>
      </w:r>
      <w:r>
        <w:t xml:space="preserve">of anything. Coherence is not bought with fit quality. In range the closed model</w:t>
      </w:r>
      <w:r>
        <w:t xml:space="preserve"> </w:t>
      </w:r>
      <w:r>
        <w:t xml:space="preserve">attains RMSE 0.01073 across the 18 runs against</w:t>
      </w:r>
      <w:r>
        <w:t xml:space="preserve"> </w:t>
      </w:r>
      <w:r>
        <w:t xml:space="preserve">0.01148 for the uncoupled fits, so it is at least as good on the</w:t>
      </w:r>
      <w:r>
        <w:t xml:space="preserve"> </w:t>
      </w:r>
      <w:r>
        <w:t xml:space="preserve">data while being the only one of the two that can be extended.</w:t>
      </w:r>
    </w:p>
    <w:p>
      <w:pPr>
        <w:pStyle w:val="BodyText"/>
      </w:pPr>
      <w:r>
        <w:t xml:space="preserve">The correction changes the projection qualitatively, and in a direction we did not</w:t>
      </w:r>
      <w:r>
        <w:t xml:space="preserve"> </w:t>
      </w:r>
      <w:r>
        <w:t xml:space="preserve">anticipate. Under uncoupled fits the check category rises without limit and appears</w:t>
      </w:r>
      <w:r>
        <w:t xml:space="preserve"> </w:t>
      </w:r>
      <w:r>
        <w:t xml:space="preserve">to absorb nearly all failures. Under the closed model it peaks, at</w:t>
      </w:r>
      <w:r>
        <w:t xml:space="preserve"> </w:t>
      </w:r>
      <w:r>
        <w:t xml:space="preserve">450M parameters</w:t>
      </w:r>
      <w:r>
        <w:t xml:space="preserve"> </w:t>
      </w:r>
      <w:r>
        <w:t xml:space="preserve">(77M to 2.9B, 99.8% of bootstrap</w:t>
      </w:r>
      <w:r>
        <w:t xml:space="preserve"> </w:t>
      </w:r>
      <w:r>
        <w:t xml:space="preserve">resamples above our largest model) and a share of 0.362, and then</w:t>
      </w:r>
      <w:r>
        <w:t xml:space="preserve"> </w:t>
      </w:r>
      <w:r>
        <w:t xml:space="preserve">declines, because it is in turn displaced by the category that never scales away.</w:t>
      </w:r>
      <w:r>
        <w:t xml:space="preserve"> </w:t>
      </w:r>
      <w:r>
        <w:t xml:space="preserve">Failures despite correctly decoded local belief overtake it at 611M</w:t>
      </w:r>
      <w:r>
        <w:t xml:space="preserve"> </w:t>
      </w:r>
      <w:r>
        <w:t xml:space="preserve">parameters and reach 0.674 of failures at one trillion, while the</w:t>
      </w:r>
      <w:r>
        <w:t xml:space="preserve"> </w:t>
      </w:r>
      <w:r>
        <w:t xml:space="preserve">locally decidable categories fall to 0.000. The paper’s qualitative</w:t>
      </w:r>
      <w:r>
        <w:t xml:space="preserve"> </w:t>
      </w:r>
      <w:r>
        <w:t xml:space="preserve">claim is unchanged, and the ordering is if anything sharper: what scale removes</w:t>
      </w:r>
      <w:r>
        <w:t xml:space="preserve"> </w:t>
      </w:r>
      <w:r>
        <w:t xml:space="preserve">first is local error, what it removes last is not global error but error that</w:t>
      </w:r>
      <w:r>
        <w:t xml:space="preserve"> </w:t>
      </w:r>
      <w:r>
        <w:t xml:space="preserve">survives a correct local belief. We stress that the peak lies outside our fitted</w:t>
      </w:r>
      <w:r>
        <w:t xml:space="preserve"> </w:t>
      </w:r>
      <w:r>
        <w:t xml:space="preserve">range and is a property of the model, not an observation. The difference from the</w:t>
      </w:r>
      <w:r>
        <w:t xml:space="preserve"> </w:t>
      </w:r>
      <w:r>
        <w:t xml:space="preserve">earlier version is that it is now a coherent implication of the exponents rather</w:t>
      </w:r>
      <w:r>
        <w:t xml:space="preserve"> </w:t>
      </w:r>
      <w:r>
        <w:t xml:space="preserve">than an impossible one.</w:t>
      </w:r>
    </w:p>
    <w:bookmarkEnd w:id="29"/>
    <w:bookmarkEnd w:id="30"/>
    <w:bookmarkStart w:id="37" w:name="sec:external"/>
    <w:p>
      <w:pPr>
        <w:pStyle w:val="Heading1"/>
      </w:pPr>
      <w:r>
        <w:t xml:space="preserve">External Validity</w:t>
      </w:r>
    </w:p>
    <w:bookmarkStart w:id="31"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1"/>
    <w:bookmarkStart w:id="33"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2"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2"/>
    <w:bookmarkEnd w:id="33"/>
    <w:bookmarkStart w:id="34"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4"/>
    <w:bookmarkStart w:id="36"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5"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5"/>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6"/>
    <w:bookmarkEnd w:id="37"/>
    <w:bookmarkStart w:id="42"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38"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8"/>
    <w:bookmarkStart w:id="40"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39"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39"/>
    <w:bookmarkEnd w:id="40"/>
    <w:bookmarkStart w:id="41"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1"/>
    <w:bookmarkEnd w:id="42"/>
    <w:bookmarkStart w:id="44"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3"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3"/>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4"/>
    <w:bookmarkStart w:id="45"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are not closed, and extending them makes claims the categories cannot jointly</w:t>
      </w:r>
      <w:r>
        <w:t xml:space="preserve"> </w:t>
      </w:r>
      <w:r>
        <w:t xml:space="preserve">satisfy.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5"/>
    <w:bookmarkStart w:id="46"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scale at which the</w:t>
      </w:r>
      <w:r>
        <w:t xml:space="preserve"> </w:t>
      </w:r>
      <w:r>
        <w:t xml:space="preserve">check category turns over lies above our largest model in</w:t>
      </w:r>
      <w:r>
        <w:t xml:space="preserve"> </w:t>
      </w:r>
      <w:r>
        <w:t xml:space="preserve">99.8% of resamples. The closed fit guarantees that the</w:t>
      </w:r>
      <w:r>
        <w:t xml:space="preserve"> </w:t>
      </w:r>
      <w:r>
        <w:t xml:space="preserve">projection is arithmetically possible, which the uncoupled fits do not; it does</w:t>
      </w:r>
      <w:r>
        <w:t xml:space="preserve"> </w:t>
      </w:r>
      <w:r>
        <w:t xml:space="preserve">not make it observed, and a different link function would move the turn.</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6"/>
    <w:bookmarkStart w:id="47"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7"/>
    <w:bookmarkStart w:id="52" w:name="declarations"/>
    <w:p>
      <w:pPr>
        <w:pStyle w:val="Heading1"/>
      </w:pPr>
      <w:r>
        <w:t xml:space="preserve">Declarations</w:t>
      </w:r>
    </w:p>
    <w:bookmarkStart w:id="48" w:name="disclosure-statement."/>
    <w:p>
      <w:pPr>
        <w:pStyle w:val="Heading4"/>
      </w:pPr>
      <w:r>
        <w:t xml:space="preserve">Disclosure statement.</w:t>
      </w:r>
    </w:p>
    <w:p>
      <w:pPr>
        <w:pStyle w:val="FirstParagraph"/>
      </w:pPr>
      <w:r>
        <w:t xml:space="preserve">The authors report no conflict of interest.</w:t>
      </w:r>
    </w:p>
    <w:bookmarkEnd w:id="48"/>
    <w:bookmarkStart w:id="49"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49"/>
    <w:bookmarkStart w:id="50"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0"/>
    <w:bookmarkStart w:id="51"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1"/>
    <w:bookmarkEnd w:id="52"/>
    <w:bookmarkStart w:id="53"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3"/>
    <w:bookmarkStart w:id="74"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3" w:name="refs"/>
    <w:bookmarkStart w:id="54"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4"/>
    <w:bookmarkStart w:id="55"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5"/>
    <w:bookmarkStart w:id="56"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6"/>
    <w:bookmarkStart w:id="57"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7"/>
    <w:bookmarkStart w:id="58"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8"/>
    <w:bookmarkStart w:id="59"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59"/>
    <w:bookmarkStart w:id="60"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0"/>
    <w:bookmarkStart w:id="61"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1"/>
    <w:bookmarkStart w:id="62"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2"/>
    <w:bookmarkStart w:id="63"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3"/>
    <w:bookmarkStart w:id="65"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4">
        <w:r>
          <w:rPr>
            <w:rStyle w:val="Hyperlink"/>
          </w:rPr>
          <w:t xml:space="preserve">https://doi.org/10.18653/v1/2023.blackboxnlp-1.2</w:t>
        </w:r>
      </w:hyperlink>
      <w:r>
        <w:t xml:space="preserve">.</w:t>
      </w:r>
    </w:p>
    <w:bookmarkEnd w:id="65"/>
    <w:bookmarkStart w:id="66"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6"/>
    <w:bookmarkStart w:id="67"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67"/>
    <w:bookmarkStart w:id="69"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8">
        <w:r>
          <w:rPr>
            <w:rStyle w:val="Hyperlink"/>
          </w:rPr>
          <w:t xml:space="preserve">https://doi.org/10.1609/aaai.v36i10.21390</w:t>
        </w:r>
      </w:hyperlink>
      <w:r>
        <w:t xml:space="preserve">.</w:t>
      </w:r>
    </w:p>
    <w:bookmarkEnd w:id="69"/>
    <w:bookmarkStart w:id="70"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0"/>
    <w:bookmarkStart w:id="71"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1"/>
    <w:bookmarkStart w:id="72"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8" Target="https://doi.org/10.1609/aaai.v36i10.21390" TargetMode="External" /><Relationship Type="http://schemas.openxmlformats.org/officeDocument/2006/relationships/hyperlink" Id="rId64"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609/aaai.v36i10.21390" TargetMode="External" /><Relationship Type="http://schemas.openxmlformats.org/officeDocument/2006/relationships/hyperlink" Id="rId64"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2026-09-18T15:03:32Z</dcterms:created>
  <dcterms:modified xsi:type="dcterms:W3CDTF">2026-09-18T15:03:32Z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per-category scaling fits are not closed: our own extrapolated shares sum to 1.34 at one billion parameters. Fitting the composition on the simplex fits better in range, and moves the projection from an impossible one to a peak.</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