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3"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8"/>
    <w:bookmarkStart w:id="19"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Over 150 games</w:t>
      </w:r>
      <w:r>
        <w:t xml:space="preserve"> </w:t>
      </w:r>
      <w:r>
        <w:t xml:space="preserve">and 3,942 sampled illegal moves: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Class</w:t>
            </w:r>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0.08</w:t>
            </w:r>
          </w:p>
        </w:tc>
        <w:tc>
          <w:tcPr/>
          <w:p>
            <w:pPr>
              <w:pStyle w:val="Compact"/>
              <w:jc w:val="right"/>
            </w:pPr>
            <w:r>
              <w:t xml:space="preserve">48</w:t>
            </w:r>
          </w:p>
        </w:tc>
      </w:tr>
      <w:tr>
        <w:tc>
          <w:tcPr/>
          <w:p>
            <w:pPr>
              <w:pStyle w:val="Compact"/>
              <w:jc w:val="left"/>
            </w:pPr>
            <w:r>
              <w:t xml:space="preserve">geometry</w:t>
            </w:r>
          </w:p>
        </w:tc>
        <w:tc>
          <w:tcPr/>
          <w:p>
            <w:pPr>
              <w:pStyle w:val="Compact"/>
              <w:jc w:val="right"/>
            </w:pPr>
            <w:r>
              <w:t xml:space="preserve">0.01</w:t>
            </w:r>
          </w:p>
        </w:tc>
        <w:tc>
          <w:tcPr/>
          <w:p>
            <w:pPr>
              <w:pStyle w:val="Compact"/>
              <w:jc w:val="right"/>
            </w:pPr>
            <w:r>
              <w:t xml:space="preserve">1</w:t>
            </w:r>
          </w:p>
        </w:tc>
      </w:tr>
      <w:tr>
        <w:tc>
          <w:tcPr/>
          <w:p>
            <w:pPr>
              <w:pStyle w:val="Compact"/>
              <w:jc w:val="left"/>
            </w:pPr>
            <w:r>
              <w:t xml:space="preserve">leaves check</w:t>
            </w:r>
          </w:p>
        </w:tc>
        <w:tc>
          <w:tcPr/>
          <w:p>
            <w:pPr>
              <w:pStyle w:val="Compact"/>
              <w:jc w:val="right"/>
            </w:pPr>
            <w:r>
              <w:t xml:space="preserve">18.33</w:t>
            </w:r>
          </w:p>
        </w:tc>
        <w:tc>
          <w:tcPr/>
          <w:p>
            <w:pPr>
              <w:pStyle w:val="Compact"/>
              <w:jc w:val="right"/>
            </w:pPr>
            <w:r>
              <w:t xml:space="preserve">58</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18.33 squares on average, with a</w:t>
      </w:r>
      <w:r>
        <w:t xml:space="preserve"> </w:t>
      </w:r>
      <w:r>
        <w:t xml:space="preserve">standard deviation of 11.9 and a maximum of 58, while every other</w:t>
      </w:r>
      <w:r>
        <w:t xml:space="preserve"> </w:t>
      </w:r>
      <w:r>
        <w:t xml:space="preserve">class depends on essentially none. That separation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of 900 geometry errors sampled,</w:t>
      </w:r>
      <w:r>
        <w:t xml:space="preserve"> </w:t>
      </w:r>
      <w:r>
        <w:t xml:space="preserve">98.1 percent are moves the piece cannot make under any arrangement of the</w:t>
      </w:r>
      <w:r>
        <w:t xml:space="preserve"> </w:t>
      </w:r>
      <w:r>
        <w:t xml:space="preserve">other squares, and only 1.9 percent are genuinely blocked paths. The label</w:t>
      </w:r>
      <w:r>
        <w:t xml:space="preserve"> </w:t>
      </w:r>
      <w:r>
        <w:t xml:space="preserve">covers two mechanically different errors, and the description of geometry as depending</w:t>
      </w:r>
      <w:r>
        <w:t xml:space="preserve"> </w:t>
      </w:r>
      <w:r>
        <w:t xml:space="preserve">on intervening squares holds for a fiftieth of the cases carrying it.</w:t>
      </w:r>
    </w:p>
    <w:p>
      <w:pPr>
        <w:pStyle w:val="BodyText"/>
      </w:pP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9"/>
    <w:bookmarkStart w:id="20"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0"/>
    <w:bookmarkStart w:id="21"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1"/>
    <w:bookmarkStart w:id="22"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2"/>
    <w:bookmarkEnd w:id="23"/>
    <w:bookmarkStart w:id="32" w:name="sec:scaling"/>
    <w:p>
      <w:pPr>
        <w:pStyle w:val="Heading1"/>
      </w:pPr>
      <w:r>
        <w:t xml:space="preserve">Differential Scaling</w:t>
      </w:r>
    </w:p>
    <w:bookmarkStart w:id="24"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4"/>
    <w:bookmarkStart w:id="28" w:name="fig:scaling"/>
    <w:p>
      <w:pPr>
        <w:pStyle w:val="CaptionedFigure"/>
      </w:pPr>
      <w:r>
        <w:drawing>
          <wp:inline>
            <wp:extent cx="5334000" cy="1981200"/>
            <wp:effectExtent b="0" l="0" r="0" t="0"/>
            <wp:docPr descr="" title="" id="26" name="Picture"/>
            <a:graphic>
              <a:graphicData uri="http://schemas.openxmlformats.org/drawingml/2006/picture">
                <pic:pic>
                  <pic:nvPicPr>
                    <pic:cNvPr descr="scaling.png" id="27" name="Picture"/>
                    <pic:cNvPicPr>
                      <a:picLocks noChangeArrowheads="1" noChangeAspect="1"/>
                    </pic:cNvPicPr>
                  </pic:nvPicPr>
                  <pic:blipFill>
                    <a:blip r:embed="rId2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9"/>
    <w:bookmarkStart w:id="3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30"/>
    <w:bookmarkStart w:id="3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1"/>
    <w:bookmarkEnd w:id="32"/>
    <w:bookmarkStart w:id="39" w:name="sec:external"/>
    <w:p>
      <w:pPr>
        <w:pStyle w:val="Heading1"/>
      </w:pPr>
      <w:r>
        <w:t xml:space="preserve">External Validity</w:t>
      </w:r>
    </w:p>
    <w:bookmarkStart w:id="3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3"/>
    <w:bookmarkStart w:id="3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4"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4"/>
    <w:bookmarkEnd w:id="35"/>
    <w:bookmarkStart w:id="3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6"/>
    <w:bookmarkStart w:id="38"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8"/>
    <w:bookmarkEnd w:id="39"/>
    <w:bookmarkStart w:id="44"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4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40"/>
    <w:bookmarkStart w:id="4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1"/>
    <w:bookmarkEnd w:id="42"/>
    <w:bookmarkStart w:id="4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3"/>
    <w:bookmarkEnd w:id="44"/>
    <w:bookmarkStart w:id="46"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5"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5"/>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6"/>
    <w:bookmarkStart w:id="47"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7"/>
    <w:bookmarkStart w:id="48"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8"/>
    <w:bookmarkStart w:id="49"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9"/>
    <w:bookmarkStart w:id="54" w:name="declarations"/>
    <w:p>
      <w:pPr>
        <w:pStyle w:val="Heading1"/>
      </w:pPr>
      <w:r>
        <w:t xml:space="preserve">Declarations</w:t>
      </w:r>
    </w:p>
    <w:bookmarkStart w:id="50" w:name="disclosure-statement."/>
    <w:p>
      <w:pPr>
        <w:pStyle w:val="Heading4"/>
      </w:pPr>
      <w:r>
        <w:t xml:space="preserve">Disclosure statement.</w:t>
      </w:r>
    </w:p>
    <w:p>
      <w:pPr>
        <w:pStyle w:val="FirstParagraph"/>
      </w:pPr>
      <w:r>
        <w:t xml:space="preserve">Removed for double-anonymous peer review.</w:t>
      </w:r>
    </w:p>
    <w:bookmarkEnd w:id="50"/>
    <w:bookmarkStart w:id="51" w:name="funding."/>
    <w:p>
      <w:pPr>
        <w:pStyle w:val="Heading4"/>
      </w:pPr>
      <w:r>
        <w:t xml:space="preserve">Funding.</w:t>
      </w:r>
    </w:p>
    <w:p>
      <w:pPr>
        <w:pStyle w:val="FirstParagraph"/>
      </w:pPr>
      <w:r>
        <w:t xml:space="preserve">Removed for double-anonymous peer review.</w:t>
      </w:r>
    </w:p>
    <w:bookmarkEnd w:id="51"/>
    <w:bookmarkStart w:id="5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52"/>
    <w:bookmarkStart w:id="53"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3"/>
    <w:bookmarkEnd w:id="54"/>
    <w:bookmarkStart w:id="5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5"/>
    <w:bookmarkStart w:id="75"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4" w:name="refs"/>
    <w:bookmarkStart w:id="56"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6"/>
    <w:bookmarkStart w:id="57"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7"/>
    <w:bookmarkStart w:id="58"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8"/>
    <w:bookmarkStart w:id="59"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9"/>
    <w:bookmarkStart w:id="60"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60"/>
    <w:bookmarkStart w:id="61"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1"/>
    <w:bookmarkStart w:id="62"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2"/>
    <w:bookmarkStart w:id="63"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3"/>
    <w:bookmarkStart w:id="64"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4"/>
    <w:bookmarkStart w:id="65"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5"/>
    <w:bookmarkStart w:id="67"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6">
        <w:r>
          <w:rPr>
            <w:rStyle w:val="Hyperlink"/>
          </w:rPr>
          <w:t xml:space="preserve">https://doi.org/10.18653/v1/2023.blackboxnlp-1.2</w:t>
        </w:r>
      </w:hyperlink>
      <w:r>
        <w:t xml:space="preserve">.</w:t>
      </w:r>
    </w:p>
    <w:bookmarkEnd w:id="67"/>
    <w:bookmarkStart w:id="68"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8"/>
    <w:bookmarkStart w:id="7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9">
        <w:r>
          <w:rPr>
            <w:rStyle w:val="Hyperlink"/>
          </w:rPr>
          <w:t xml:space="preserve">https://doi.org/10.1609/aaai.v36i10.21390</w:t>
        </w:r>
      </w:hyperlink>
      <w:r>
        <w:t xml:space="preserve">.</w:t>
      </w:r>
    </w:p>
    <w:bookmarkEnd w:id="70"/>
    <w:bookmarkStart w:id="7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1"/>
    <w:bookmarkStart w:id="7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2"/>
    <w:bookmarkStart w:id="7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69" Target="https://doi.org/10.1609/aaai.v36i10.21390" TargetMode="External" /><Relationship Type="http://schemas.openxmlformats.org/officeDocument/2006/relationships/hyperlink" Id="rId66"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609/aaai.v36i10.21390" TargetMode="External" /><Relationship Type="http://schemas.openxmlformats.org/officeDocument/2006/relationships/hyperlink" Id="rId66"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2026-10-07T09:44:06Z</dcterms:created>
  <dcterms:modified xsi:type="dcterms:W3CDTF">2026-10-07T09:44:06Z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ies>
</file>