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uthor"/>
      </w:pPr>
      <w:r>
        <w:t xml:space="preserve">Pratap Chandra Mandal</w:t>
      </w:r>
      <w:r>
        <w:br/>
      </w:r>
      <w:r>
        <w:t xml:space="preserve">Indian Institute of Management Shillong</w:t>
      </w:r>
    </w:p>
    <w:p>
      <w:pPr>
        <w:pStyle w:val="AbstractTitle"/>
      </w:pPr>
      <w:r>
        <w:t xml:space="preserve">Abstract</w:t>
      </w:r>
    </w:p>
    <w:p>
      <w:pPr>
        <w:pStyle w:val="Abstract"/>
      </w:pPr>
      <w:r>
        <w:t xml:space="preserve">Organisations decide where to spend an artificial intelligence budget by asking</w:t>
      </w:r>
      <w:r>
        <w:t xml:space="preserve"> </w:t>
      </w:r>
      <w:r>
        <w:t xml:space="preserve">which of a system’s failures the next model generation will remove on its own. The</w:t>
      </w:r>
      <w:r>
        <w:t xml:space="preserve"> </w:t>
      </w:r>
      <w:r>
        <w:t xml:space="preserve">usual evidence is a decomposition: sort the errors into categories and fit a scaling</w:t>
      </w:r>
      <w:r>
        <w:t xml:space="preserve"> </w:t>
      </w:r>
      <w:r>
        <w:t xml:space="preserve">curve to each. Studies that do this commonly also fit the aggregate error rate as a</w:t>
      </w:r>
      <w:r>
        <w:t xml:space="preserve"> </w:t>
      </w:r>
      <w:r>
        <w:t xml:space="preserve">curve of its own. We show the two cannot both be right. If the categories follow</w:t>
      </w:r>
      <w:r>
        <w:t xml:space="preserve"> </w:t>
      </w:r>
      <w:r>
        <w:t xml:space="preserve">power laws with different exponents, their sum is provably not a power law, so an</w:t>
      </w:r>
      <w:r>
        <w:t xml:space="preserve"> </w:t>
      </w:r>
      <w:r>
        <w:t xml:space="preserve">independently fitted aggregate contradicts the categories it summarises. The</w:t>
      </w:r>
      <w:r>
        <w:t xml:space="preserve"> </w:t>
      </w:r>
      <w:r>
        <w:t xml:space="preserve">conflict is not only asymptotic. On our data the aggregate’s curvature is</w:t>
      </w:r>
      <w:r>
        <w:t xml:space="preserve"> </w:t>
      </w:r>
      <w:r>
        <w:t xml:space="preserve">detectable inside the observed range, a quadratic term of +0.0403</w:t>
      </w:r>
      <w:r>
        <w:t xml:space="preserve"> </w:t>
      </w:r>
      <w:r>
        <w:t xml:space="preserve">[+0.0194, +0.0599] that excludes zero and halves the residual, so a</w:t>
      </w:r>
      <w:r>
        <w:t xml:space="preserve"> </w:t>
      </w:r>
      <w:r>
        <w:t xml:space="preserve">single power law is a demonstrably wrong model of the total where the data actually</w:t>
      </w:r>
      <w:r>
        <w:t xml:space="preserve"> </w:t>
      </w:r>
      <w:r>
        <w:t xml:space="preserve">are. Extrapolated, the fitted parts reach 1.27 times the fitted whole</w:t>
      </w:r>
      <w:r>
        <w:t xml:space="preserve"> </w:t>
      </w:r>
      <w:r>
        <w:t xml:space="preserve">at one billion parameters. The repair is to derive the total from the parts rather</w:t>
      </w:r>
      <w:r>
        <w:t xml:space="preserve"> </w:t>
      </w:r>
      <w:r>
        <w:t xml:space="preserve">than fit it separately, which needs no new machinery; what it costs is the aggregate</w:t>
      </w:r>
      <w:r>
        <w:t xml:space="preserve"> </w:t>
      </w:r>
      <w:r>
        <w:t xml:space="preserve">exponent itself, whose effective slope drifts from</w:t>
      </w:r>
      <w:r>
        <w:t xml:space="preserve"> </w:t>
      </w:r>
      <m:oMath>
        <m:r>
          <m:rPr>
            <m:sty m:val="p"/>
          </m:rPr>
          <m:t>−</m:t>
        </m:r>
      </m:oMath>
      <w:r>
        <w:t xml:space="preserve">0.299 to</w:t>
      </w:r>
      <w:r>
        <w:t xml:space="preserve"> </w:t>
      </w:r>
      <m:oMath>
        <m:r>
          <m:rPr>
            <m:sty m:val="p"/>
          </m:rPr>
          <m:t>−</m:t>
        </m:r>
      </m:oMath>
      <w:r>
        <w:t xml:space="preserve">0.174, covering 27% of the span of the category</w:t>
      </w:r>
      <w:r>
        <w:t xml:space="preserve"> </w:t>
      </w:r>
      <w:r>
        <w:t xml:space="preserve">exponents it is meant to summarise. We contribute the consistency condition, a</w:t>
      </w:r>
      <w:r>
        <w:t xml:space="preserve"> </w:t>
      </w:r>
      <w:r>
        <w:t xml:space="preserve">diagnostic needing only the coefficients a study already prints, and the observation</w:t>
      </w:r>
      <w:r>
        <w:t xml:space="preserve"> </w:t>
      </w:r>
      <w:r>
        <w:t xml:space="preserve">that conclusions resting on such a pair’s out-of-range behaviour are void, which we</w:t>
      </w:r>
      <w:r>
        <w:t xml:space="preserve"> </w:t>
      </w:r>
      <w:r>
        <w:t xml:space="preserve">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consistency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(Rathore et al. 2026)</w:t>
      </w:r>
      <w:r>
        <w:t xml:space="preserve"> </w:t>
      </w:r>
      <w:r>
        <w:t xml:space="preserve">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consistent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consistently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consistent ways of writing the composition agree to</w:t>
      </w:r>
      <w:r>
        <w:t xml:space="preserve"> </w:t>
      </w:r>
      <w:r>
        <w:t xml:space="preserve">within 0.0060 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consistency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because the natural first</w:t>
      </w:r>
      <w:r>
        <w:t xml:space="preserve"> </w:t>
      </w:r>
      <w:r>
        <w:t xml:space="preserve">reading is that the category fits are at fault and they are not. A sum of power laws</w:t>
      </w:r>
      <w:r>
        <w:t xml:space="preserve"> </w:t>
      </w:r>
      <w:r>
        <w:t xml:space="preserve">with distinct exponents is not a power law. The categories may each be perfectly</w:t>
      </w:r>
      <w:r>
        <w:t xml:space="preserve"> </w:t>
      </w:r>
      <w:r>
        <w:t xml:space="preserve">well specified; what cannot be sustained is the additional claim that their total is</w:t>
      </w:r>
      <w:r>
        <w:t xml:space="preserve"> </w:t>
      </w:r>
      <w:r>
        <w:t xml:space="preserve">also a power law. The misspecified object is the aggregate.</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consistency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consistent alternative cost nothing to adopt</w:t>
            </w:r>
          </w:p>
        </w:tc>
        <w:tc>
          <w:tcPr/>
          <w:p>
            <w:pPr>
              <w:pStyle w:val="Compact"/>
              <w:jc w:val="left"/>
            </w:pPr>
            <w:r>
              <w:t xml:space="preserve">The total is derived</w:t>
            </w:r>
            <w:r>
              <w:t xml:space="preserve"> </w:t>
            </w:r>
            <w:r>
              <w:t xml:space="preserve">by summation, which needs no estimation, no link function and no new modelling</w:t>
            </w:r>
            <w:r>
              <w:t xml:space="preserve"> </w:t>
            </w:r>
            <w:r>
              <w:t xml:space="preserve">commitment, so there is no methodological price to weigh against consistency.</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 consistency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The conflict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consistency,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twelve fitted coefficients, an exponent and an</w:t>
      </w:r>
      <w:r>
        <w:t xml:space="preserve"> </w:t>
      </w:r>
      <w:r>
        <w:t xml:space="preserve">intercept for each of the five categories and for the 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That interval spans an order of magnitude and its upper end is within a factor of two</w:t>
      </w:r>
      <w:r>
        <w:t xml:space="preserve"> </w:t>
      </w:r>
      <w:r>
        <w:t xml:space="preserve">of the intended forecast scale, so the threshold itself is poorly determined. The</w:t>
      </w:r>
      <w:r>
        <w:t xml:space="preserve"> </w:t>
      </w:r>
      <w:r>
        <w:t xml:space="preserve">verdict is not. At one billion parameters the parts stand at 1.27 times</w:t>
      </w:r>
      <w:r>
        <w:t xml:space="preserve"> </w:t>
      </w:r>
      <w:r>
        <w:t xml:space="preserve">the whole [1.13, 1.57], above one in</w:t>
      </w:r>
      <w:r>
        <w:t xml:space="preserve"> </w:t>
      </w:r>
      <w:r>
        <w:t xml:space="preserve">100% of resamples of the ladder: where the threshold falls is</w:t>
      </w:r>
      <w:r>
        <w:t xml:space="preserve"> </w:t>
      </w:r>
      <w:r>
        <w:t xml:space="preserve">uncertain, that the forecast scale is past it is not.</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4"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Size of the contradiction between the two fits: independently extrapolated</w:t>
      </w:r>
      <w:r>
        <w:t xml:space="preserve"> </w:t>
      </w:r>
      <w:r>
        <w:t xml:space="preserve">parts over the independently extrapolated whole. The quantity is a disagreement</w:t>
      </w:r>
      <w:r>
        <w:t xml:space="preserve"> </w:t>
      </w:r>
      <w:r>
        <w:t xml:space="preserve">between two models, not a measurement, and a value above one means they cannot both</w:t>
      </w:r>
      <w:r>
        <w:t xml:space="preserve"> </w:t>
      </w:r>
      <w:r>
        <w:t xml:space="preserve">describe the same system. Interval from resampling the ladder’s size rungs.</w:t>
      </w:r>
    </w:p>
    <w:tbl>
      <w:tblPr>
        <w:tblStyle w:val="Table"/>
        <w:tblW w:type="auto" w:w="0"/>
        <w:tblLook w:firstRow="1" w:lastRow="0" w:firstColumn="0" w:lastColumn="0" w:noHBand="0" w:noVBand="0" w:val="0020"/>
        <w:tblCaption w:val="Size of the contradiction between the two fits: independently extrapolated parts over the independently extrapolated whole. The quantity is a disagreement between two models, not a measurement, and a value above one means they cannot both describe the same system.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Xee3ab538d75f4d7a792da820d4f792ff34a7678"/>
    <w:p>
      <w:pPr>
        <w:pStyle w:val="Heading4"/>
      </w:pPr>
      <w:r>
        <w:t xml:space="preserve">Is the aggregate detectably not a power law, in range?</w:t>
      </w:r>
    </w:p>
    <w:p>
      <w:pPr>
        <w:pStyle w:val="FirstParagraph"/>
      </w:pPr>
      <w:r>
        <w:t xml:space="preserve">The argument so far is asymptotic, and a reader is entitled to ask whether it bites</w:t>
      </w:r>
      <w:r>
        <w:t xml:space="preserve"> </w:t>
      </w:r>
      <w:r>
        <w:t xml:space="preserve">on real data or only in the limit. It bites. Fitting</w:t>
      </w:r>
      <w:r>
        <w:t xml:space="preserve"> </w:t>
      </w:r>
      <m:oMath>
        <m:r>
          <m:rPr>
            <m:sty m:val="p"/>
          </m:rPr>
          <m:t>log</m:t>
        </m:r>
        <m:r>
          <m:t>T</m:t>
        </m:r>
        <m:r>
          <m:rPr>
            <m:sty m:val="p"/>
          </m:rPr>
          <m:t>=</m:t>
        </m:r>
        <m:r>
          <m:t>c</m:t>
        </m:r>
        <m:r>
          <m:rPr>
            <m:sty m:val="p"/>
          </m:rPr>
          <m:t>+</m:t>
        </m:r>
        <m:r>
          <m:t>b</m:t>
        </m:r>
        <m:r>
          <m:rPr>
            <m:sty m:val="p"/>
          </m:rPr>
          <m:t>log</m:t>
        </m:r>
        <m:r>
          <m:t>N</m:t>
        </m:r>
        <m:r>
          <m:rPr>
            <m:sty m:val="p"/>
          </m:rPr>
          <m:t>+</m:t>
        </m:r>
        <m:r>
          <m:t>q</m:t>
        </m:r>
        <m:r>
          <m:rPr>
            <m:sty m:val="p"/>
          </m:rPr>
          <m:t>(</m:t>
        </m:r>
        <m:r>
          <m:rPr>
            <m:sty m:val="p"/>
          </m:rPr>
          <m:t>log</m:t>
        </m:r>
        <m:r>
          <m:t>N</m:t>
        </m:r>
        <m:sSup>
          <m:e>
            <m:r>
              <m:rPr>
                <m:sty m:val="p"/>
              </m:rPr>
              <m:t>)</m:t>
            </m:r>
          </m:e>
          <m:sup>
            <m:r>
              <m:t>2</m:t>
            </m:r>
          </m:sup>
        </m:sSup>
      </m:oMath>
      <w:r>
        <w:t xml:space="preserve"> </w:t>
      </w:r>
      <w:r>
        <w:t xml:space="preserve">to the measured aggregate across the</w:t>
      </w:r>
      <w:r>
        <w:t xml:space="preserve"> </w:t>
      </w:r>
      <w:r>
        <w:t xml:space="preserve">18 runs gives a quadratic term of +0.0403, with a rung bootstrap</w:t>
      </w:r>
      <w:r>
        <w:t xml:space="preserve"> </w:t>
      </w:r>
      <w:r>
        <w:t xml:space="preserve">interval of [+0.0194, +0.0599] that excludes zero, and only</w:t>
      </w:r>
      <w:r>
        <w:t xml:space="preserve"> </w:t>
      </w:r>
      <w:r>
        <w:t xml:space="preserve">1.0% of resamples on the other side. Treating runs as independent,</w:t>
      </w:r>
      <w:r>
        <w:t xml:space="preserve"> </w:t>
      </w:r>
      <w:r>
        <w:t xml:space="preserve">which is optimistic and which we report only because it is the conventional test,</w:t>
      </w:r>
      <w:r>
        <w:t xml:space="preserve"> </w:t>
      </w:r>
      <w:r>
        <w:t xml:space="preserve">gives</w:t>
      </w:r>
      <w:r>
        <w:t xml:space="preserve"> </w:t>
      </w:r>
      <m:oMath>
        <m:r>
          <m:t>t</m:t>
        </m:r>
        <m:r>
          <m:rPr>
            <m:sty m:val="p"/>
          </m:rPr>
          <m:t>=</m:t>
        </m:r>
        <m:r>
          <m:t>8.61</m:t>
        </m:r>
      </m:oMath>
      <w:r>
        <w:t xml:space="preserve"> </w:t>
      </w:r>
      <w:r>
        <w:t xml:space="preserve">on 15 degrees of freedom. Adding the</w:t>
      </w:r>
      <w:r>
        <w:t xml:space="preserve"> </w:t>
      </w:r>
      <w:r>
        <w:t xml:space="preserve">quadratic term halves the residual, from 0.0280 to</w:t>
      </w:r>
      <w:r>
        <w:t xml:space="preserve"> </w:t>
      </w:r>
      <w:r>
        <w:t xml:space="preserve">0.0115, and is preferred by AIC.</w:t>
      </w:r>
    </w:p>
    <w:p>
      <w:pPr>
        <w:pStyle w:val="BodyText"/>
      </w:pPr>
      <w:r>
        <w:t xml:space="preserve">So a single power law is not merely inadequate beyond our range; it is a</w:t>
      </w:r>
      <w:r>
        <w:t xml:space="preserve"> </w:t>
      </w:r>
      <w:r>
        <w:t xml:space="preserve">demonstrably wrong model of the aggregate inside it, on eighteen runs across a</w:t>
      </w:r>
      <w:r>
        <w:t xml:space="preserve"> </w:t>
      </w:r>
      <w:r>
        <w:t xml:space="preserve">12-fold span. This is the direct evidence for the paper’s thesis</w:t>
      </w:r>
      <w:r>
        <w:t xml:space="preserve"> </w:t>
      </w:r>
      <w:r>
        <w:t xml:space="preserve">and it does not depend on any extrapolation. One honest asymmetry is worth recording:</w:t>
      </w:r>
      <w:r>
        <w:t xml:space="preserve"> </w:t>
      </w:r>
      <w:r>
        <w:t xml:space="preserve">the curvature the category curves imply is +0.0146, smaller than the</w:t>
      </w:r>
      <w:r>
        <w:t xml:space="preserve"> </w:t>
      </w:r>
      <w:r>
        <w:t xml:space="preserve">+0.0403 actually measured, so the aggregate bends more than the decomposition</w:t>
      </w:r>
      <w:r>
        <w:t xml:space="preserve"> </w:t>
      </w:r>
      <w:r>
        <w:t xml:space="preserve">predicts. The direction agrees and the magnitude does not, which means the</w:t>
      </w:r>
      <w:r>
        <w:t xml:space="preserve"> </w:t>
      </w:r>
      <w:r>
        <w:t xml:space="preserve">decomposition understates how badly a single exponent describes the total rather than</w:t>
      </w:r>
      <w:r>
        <w:t xml:space="preserve"> </w:t>
      </w:r>
      <w:r>
        <w:t xml:space="preserve">manufacturing the effect.</w:t>
      </w:r>
    </w:p>
    <w:bookmarkEnd w:id="42"/>
    <w:bookmarkStart w:id="43" w:name="do-the-two-consistent-forms-differ"/>
    <w:p>
      <w:pPr>
        <w:pStyle w:val="Heading4"/>
      </w:pPr>
      <w:r>
        <w:t xml:space="preserve">Do the two consistent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3"/>
    <w:bookmarkStart w:id="49"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4"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4"/>
    <w:bookmarkStart w:id="48" w:name="fig:derived"/>
    <w:p>
      <w:pPr>
        <w:pStyle w:val="CaptionedFigure"/>
      </w:pPr>
      <w:r>
        <w:drawing>
          <wp:inline>
            <wp:extent cx="5334000" cy="1993102"/>
            <wp:effectExtent b="0" l="0" r="0" t="0"/>
            <wp:docPr descr="" title="" id="46" name="Picture"/>
            <a:graphic>
              <a:graphicData uri="http://schemas.openxmlformats.org/drawingml/2006/picture">
                <pic:pic>
                  <pic:nvPicPr>
                    <pic:cNvPr descr="derived_vs_fitted.pdf" id="47" name="Picture"/>
                    <pic:cNvPicPr>
                      <a:picLocks noChangeArrowheads="1" noChangeAspect="1"/>
                    </pic:cNvPicPr>
                  </pic:nvPicPr>
                  <pic:blipFill>
                    <a:blip r:embed="rId45"/>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8"/>
    <w:bookmarkEnd w:id="49"/>
    <w:bookmarkStart w:id="50" w:name="X082de61a0a1180b942df614558d45d2a0b6cac2"/>
    <w:p>
      <w:pPr>
        <w:pStyle w:val="Heading4"/>
      </w:pPr>
      <w:r>
        <w:t xml:space="preserve">An illustration from a field that derives its total.</w:t>
      </w:r>
    </w:p>
    <w:p>
      <w:pPr>
        <w:pStyle w:val="FirstParagraph"/>
      </w:pPr>
      <w:r>
        <w:t xml:space="preserve">Word error rate is defined as the sum of substitutions, deletions and insertions, so</w:t>
      </w:r>
      <w:r>
        <w:t xml:space="preserve"> </w:t>
      </w:r>
      <w:r>
        <w:t xml:space="preserve">speech recognition derives its aggregate exactly as Equation </w:t>
      </w:r>
      <w:hyperlink w:anchor="eq:derived">
        <w:r>
          <w:rPr>
            <w:rStyle w:val="Hyperlink"/>
          </w:rPr>
          <w:t xml:space="preserve">[eq:derived]</w:t>
        </w:r>
      </w:hyperlink>
      <w:r>
        <w:t xml:space="preserve"> </w:t>
      </w:r>
      <w:r>
        <w:t xml:space="preserve">recommends and the conflict cannot arise there. Checking a recent published table</w:t>
      </w:r>
      <w:r>
        <w:t xml:space="preserve"> </w:t>
      </w:r>
      <w:r>
        <w:t xml:space="preserve">(Rossenbach et al. 2025)</w:t>
      </w:r>
      <w:r>
        <w:t xml:space="preserve"> </w:t>
      </w:r>
      <w:r>
        <w:t xml:space="preserve">confirms the identity holds in 11 of</w:t>
      </w:r>
      <w:r>
        <w:t xml:space="preserve"> </w:t>
      </w:r>
      <w:r>
        <w:t xml:space="preserve">11 rows, to within what rounding four printed quantities to one decimal</w:t>
      </w:r>
      <w:r>
        <w:t xml:space="preserve"> </w:t>
      </w:r>
      <w:r>
        <w:t xml:space="preserve">permits. We offer this as an illustration of the convention rather than as evidence</w:t>
      </w:r>
      <w:r>
        <w:t xml:space="preserve"> </w:t>
      </w:r>
      <w:r>
        <w:t xml:space="preserve">about the literature: where the total is defined as a sum, verifying it adds up is</w:t>
      </w:r>
      <w:r>
        <w:t xml:space="preserve"> </w:t>
      </w:r>
      <w:r>
        <w:t xml:space="preserve">arithmetic, not a methodological finding. We have not established how often the</w:t>
      </w:r>
      <w:r>
        <w:t xml:space="preserve"> </w:t>
      </w:r>
      <w:r>
        <w:t xml:space="preserve">failing configuration occurs in scaling analyses, and Section </w:t>
      </w:r>
      <w:hyperlink w:anchor="sec:limits">
        <w:r>
          <w:rPr>
            <w:rStyle w:val="Hyperlink"/>
          </w:rPr>
          <w:t xml:space="preserve">10</w:t>
        </w:r>
      </w:hyperlink>
      <w:r>
        <w:t xml:space="preserve"> </w:t>
      </w:r>
      <w:r>
        <w:t xml:space="preserve">says</w:t>
      </w:r>
      <w:r>
        <w:t xml:space="preserve"> </w:t>
      </w:r>
      <w:r>
        <w:t xml:space="preserve">so.</w:t>
      </w:r>
    </w:p>
    <w:bookmarkEnd w:id="50"/>
    <w:bookmarkStart w:id="51"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1"/>
    <w:bookmarkStart w:id="52"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consistently,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2"/>
    <w:bookmarkStart w:id="53"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derived total that error diversity should collapse with scale, since the</w:t>
      </w:r>
      <w:r>
        <w:t xml:space="preserve"> </w:t>
      </w:r>
      <w:r>
        <w:t xml:space="preserve">shallowest category must eventually dominate it,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3"/>
    <w:bookmarkEnd w:id="54"/>
    <w:bookmarkStart w:id="59" w:name="sec:discussion"/>
    <w:p>
      <w:pPr>
        <w:pStyle w:val="Heading1"/>
      </w:pPr>
      <w:r>
        <w:t xml:space="preserve">Discussion</w:t>
      </w:r>
    </w:p>
    <w:bookmarkStart w:id="55"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summing the parts is arithmetic;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derived total gives</w:t>
      </w:r>
      <w:r>
        <w:t xml:space="preserve"> </w:t>
      </w:r>
      <w:r>
        <w:t xml:space="preserve">somewhere to go that needs no estimation at all. A criticism that arrives with a</w:t>
      </w:r>
      <w:r>
        <w:t xml:space="preserve"> </w:t>
      </w:r>
      <w:r>
        <w:t xml:space="preserve">remedy priced at zero is adopted; one that arrives as a warning is filed.</w:t>
      </w:r>
    </w:p>
    <w:bookmarkEnd w:id="55"/>
    <w:bookmarkStart w:id="56"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6"/>
    <w:bookmarkStart w:id="57"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7"/>
    <w:bookmarkStart w:id="58"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8"/>
    <w:bookmarkEnd w:id="59"/>
    <w:bookmarkStart w:id="64" w:name="sec:implications"/>
    <w:p>
      <w:pPr>
        <w:pStyle w:val="Heading1"/>
      </w:pPr>
      <w:r>
        <w:t xml:space="preserve">Implications for Individuals, Organisations, and Society</w:t>
      </w:r>
    </w:p>
    <w:bookmarkStart w:id="60" w:name="X5607ec1ed445a25589bfe2325c0480f28f41d38"/>
    <w:p>
      <w:pPr>
        <w:pStyle w:val="Heading4"/>
      </w:pPr>
      <w:r>
        <w:t xml:space="preserve">For the people affected by the systems these forecasts govern.</w:t>
      </w:r>
    </w:p>
    <w:p>
      <w:pPr>
        <w:pStyle w:val="FirstParagraph"/>
      </w:pPr>
      <w:r>
        <w:t xml:space="preserve">These forecasts decide which defects get fixed and which are left for the next model</w:t>
      </w:r>
      <w:r>
        <w:t xml:space="preserve"> </w:t>
      </w:r>
      <w:r>
        <w:t xml:space="preserve">to cure, and the deferral is felt by whoever receives the defect that was left.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Those who carry the cost of an over-optimistic roadmap rarely wrote it and cannot</w:t>
      </w:r>
      <w:r>
        <w:t xml:space="preserve"> </w:t>
      </w:r>
      <w:r>
        <w:t xml:space="preserve">contest an analysis they never see; a test that runs on published coefficients gives</w:t>
      </w:r>
      <w:r>
        <w:t xml:space="preserve"> </w:t>
      </w:r>
      <w:r>
        <w:t xml:space="preserve">an advocate or a regulator something concrete to ask for.</w:t>
      </w:r>
    </w:p>
    <w:bookmarkEnd w:id="60"/>
    <w:bookmarkStart w:id="61"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 consistency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1"/>
    <w:bookmarkStart w:id="62" w:name="strategic-implications."/>
    <w:p>
      <w:pPr>
        <w:pStyle w:val="Heading4"/>
      </w:pPr>
      <w:r>
        <w:t xml:space="preserve">Strategic implications.</w:t>
      </w:r>
    </w:p>
    <w:p>
      <w:pPr>
        <w:pStyle w:val="FirstParagraph"/>
      </w:pPr>
      <w:r>
        <w:t xml:space="preserve">Treat forecast consistency as an ownership question. An organisation that can audit</w:t>
      </w:r>
      <w:r>
        <w:t xml:space="preserve"> </w:t>
      </w:r>
      <w:r>
        <w:t xml:space="preserve">capability claims in-house does not depend on its suppliers’ analysts for the most</w:t>
      </w:r>
      <w:r>
        <w:t xml:space="preserve"> </w:t>
      </w:r>
      <w:r>
        <w:t xml:space="preserve">consequential input to its own roadmap, and the check needs no proprietary data, so</w:t>
      </w:r>
      <w:r>
        <w:t xml:space="preserve"> </w:t>
      </w:r>
      <w:r>
        <w:t xml:space="preserve">it is available to firms that could not staff an evaluation science function. It is</w:t>
      </w:r>
      <w:r>
        <w:t xml:space="preserve"> </w:t>
      </w:r>
      <w:r>
        <w:t xml:space="preserve">also an accountability asset rather than an overhead: a record that the forecasts</w:t>
      </w:r>
      <w:r>
        <w:t xml:space="preserve"> </w:t>
      </w:r>
      <w:r>
        <w:t xml:space="preserve">behind a deployment decision were tested is created as a by-product of doing the</w:t>
      </w:r>
      <w:r>
        <w:t xml:space="preserve"> </w:t>
      </w:r>
      <w:r>
        <w:t xml:space="preserve">analysis properly.</w:t>
      </w:r>
    </w:p>
    <w:bookmarkEnd w:id="62"/>
    <w:bookmarkStart w:id="63"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3"/>
    <w:bookmarkEnd w:id="64"/>
    <w:bookmarkStart w:id="65"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consistency argument is arithmetic and does not depend on the domain, but the</w:t>
      </w:r>
      <w:r>
        <w:t xml:space="preserve"> </w:t>
      </w:r>
      <w:r>
        <w:t xml:space="preserve">empirical demonstration does.</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5"/>
    <w:bookmarkStart w:id="66"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the estimation losses rather than the links, since the derived</w:t>
      </w:r>
      <w:r>
        <w:t xml:space="preserve"> </w:t>
      </w:r>
      <w:r>
        <w:t xml:space="preserve">total and the compositional fit are the same model: establish whether fitting in</w:t>
      </w:r>
      <w:r>
        <w:t xml:space="preserve"> </w:t>
      </w:r>
      <w:r>
        <w:t xml:space="preserve">log-rate space or in share space is preferable when category rates are small and</w:t>
      </w:r>
      <w:r>
        <w:t xml:space="preserve"> </w:t>
      </w:r>
      <w:r>
        <w:t xml:space="preserve">sampling error is asymmetric, which is the only remaining choice an analyst faces.</w:t>
      </w:r>
    </w:p>
    <w:p>
      <w:pPr>
        <w:pStyle w:val="BodyText"/>
      </w:pPr>
      <w:r>
        <w:t xml:space="preserve">Extend the independent replication to a family with more checkpoints, so</w:t>
      </w:r>
      <w:r>
        <w:t xml:space="preserve"> </w:t>
      </w:r>
      <w:r>
        <w:t xml:space="preserve">that consistency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6"/>
    <w:bookmarkStart w:id="67"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7"/>
    <w:bookmarkStart w:id="88" w:name="declarations"/>
    <w:p>
      <w:pPr>
        <w:pStyle w:val="Heading1"/>
      </w:pPr>
      <w:r>
        <w:t xml:space="preserve">Declarations</w:t>
      </w:r>
    </w:p>
    <w:bookmarkStart w:id="68" w:name="disclosure-statement."/>
    <w:p>
      <w:pPr>
        <w:pStyle w:val="Heading4"/>
      </w:pPr>
      <w:r>
        <w:t xml:space="preserve">Disclosure statement.</w:t>
      </w:r>
    </w:p>
    <w:p>
      <w:pPr>
        <w:pStyle w:val="FirstParagraph"/>
      </w:pPr>
      <w:r>
        <w:t xml:space="preserve">The authors report no conflict of interest.</w:t>
      </w:r>
    </w:p>
    <w:bookmarkEnd w:id="68"/>
    <w:bookmarkStart w:id="69"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9"/>
    <w:bookmarkStart w:id="71" w:name="data-availability-statement."/>
    <w:p>
      <w:pPr>
        <w:pStyle w:val="Heading4"/>
      </w:pPr>
      <w:r>
        <w:t xml:space="preserve">Data availability statement.</w:t>
      </w:r>
    </w:p>
    <w:p>
      <w:pPr>
        <w:pStyle w:val="FirstParagraph"/>
      </w:pPr>
      <w:r>
        <w:t xml:space="preserve">The code, every results file, and the macro provenance record are available at</w:t>
      </w:r>
      <w:r>
        <w:t xml:space="preserve"> </w:t>
      </w:r>
      <w:hyperlink r:id="rId70">
        <w:r>
          <w:rPr>
            <w:rStyle w:val="Hyperlink"/>
          </w:rPr>
          <w:t xml:space="preserve">https://github.com/MohitPratapSinghRathore/content-rot</w:t>
        </w:r>
      </w:hyperlink>
      <w:r>
        <w:t xml:space="preserve">. The diagnostic</w:t>
      </w:r>
      <w:r>
        <w:t xml:space="preserve"> </w:t>
      </w:r>
      <w:r>
        <w:t xml:space="preserve">described here is</w:t>
      </w:r>
      <w:r>
        <w:t xml:space="preserve"> </w:t>
      </w:r>
      <w:r>
        <w:rPr>
          <w:rStyle w:val="VerbatimChar"/>
        </w:rPr>
        <w:t xml:space="preserve">code/closure_check.py</w:t>
      </w:r>
      <w:r>
        <w:t xml:space="preserve"> </w:t>
      </w:r>
      <w:r>
        <w:t xml:space="preserve">and the derived total is</w:t>
      </w:r>
      <w:r>
        <w:t xml:space="preserve"> </w:t>
      </w:r>
      <w:r>
        <w:rPr>
          <w:rStyle w:val="VerbatimChar"/>
        </w:rPr>
        <w:t xml:space="preserve">code/admissibility.py</w:t>
      </w:r>
      <w:r>
        <w:t xml:space="preserve">.</w:t>
      </w:r>
    </w:p>
    <w:bookmarkEnd w:id="71"/>
    <w:bookmarkStart w:id="87"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6" w:name="refs"/>
    <w:bookmarkStart w:id="72"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2"/>
    <w:bookmarkStart w:id="73"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3"/>
    <w:bookmarkStart w:id="75"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4">
        <w:r>
          <w:rPr>
            <w:rStyle w:val="Hyperlink"/>
          </w:rPr>
          <w:t xml:space="preserve">https://doi.org/10.25300/MISQ/2013/37.2.01</w:t>
        </w:r>
      </w:hyperlink>
      <w:r>
        <w:t xml:space="preserve">.</w:t>
      </w:r>
    </w:p>
    <w:bookmarkEnd w:id="75"/>
    <w:bookmarkStart w:id="77"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6">
        <w:r>
          <w:rPr>
            <w:rStyle w:val="Hyperlink"/>
          </w:rPr>
          <w:t xml:space="preserve">https://doi.org/10.2307/25148625</w:t>
        </w:r>
      </w:hyperlink>
      <w:r>
        <w:t xml:space="preserve">.</w:t>
      </w:r>
    </w:p>
    <w:bookmarkEnd w:id="77"/>
    <w:bookmarkStart w:id="7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8"/>
    <w:bookmarkStart w:id="7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9"/>
    <w:bookmarkStart w:id="8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0"/>
    <w:bookmarkStart w:id="82"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1">
        <w:r>
          <w:rPr>
            <w:rStyle w:val="Hyperlink"/>
          </w:rPr>
          <w:t xml:space="preserve">https://doi.org/10.2753/MIS0742-1222240302</w:t>
        </w:r>
      </w:hyperlink>
      <w:r>
        <w:t xml:space="preserve">.</w:t>
      </w:r>
    </w:p>
    <w:bookmarkEnd w:id="82"/>
    <w:bookmarkStart w:id="83" w:name="ref-rathore2026scale"/>
    <w:p>
      <w:pPr>
        <w:pStyle w:val="Bibliography"/>
      </w:pPr>
      <w:r>
        <w:t xml:space="preserve">Rathore, Mohit Pratap Singh, Gunveer Sinh Kalsi, and Sriharsha Meduri. 2026.</w:t>
      </w:r>
      <w:r>
        <w:t xml:space="preserve"> </w:t>
      </w:r>
      <w:r>
        <w:t xml:space="preserve">“Scale Fixes Local Errors First: Differential Scaling of Chess Transformer Failures.”</w:t>
      </w:r>
      <w:r>
        <w:t xml:space="preserve"> </w:t>
      </w:r>
      <w:r>
        <w:rPr>
          <w:i/>
          <w:iCs/>
        </w:rPr>
        <w:t xml:space="preserve">Manuscript Under Review</w:t>
      </w:r>
      <w:r>
        <w:t xml:space="preserve">.</w:t>
      </w:r>
    </w:p>
    <w:bookmarkEnd w:id="83"/>
    <w:bookmarkStart w:id="84" w:name="ref-amit2025loquacious"/>
    <w:p>
      <w:pPr>
        <w:pStyle w:val="Bibliography"/>
      </w:pPr>
      <w:r>
        <w:t xml:space="preserve">Rossenbach, Nick, Robin Schmitt, Tina Raissi, Simon Berger, Larissa Kleppel, and Ralf Schlüter.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4"/>
    <w:bookmarkStart w:id="85"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df" /><Relationship Type="http://schemas.openxmlformats.org/officeDocument/2006/relationships/hyperlink" Id="rId76" Target="https://doi.org/10.2307/25148625" TargetMode="External" /><Relationship Type="http://schemas.openxmlformats.org/officeDocument/2006/relationships/hyperlink" Id="rId74" Target="https://doi.org/10.25300/MISQ/2013/37.2.01" TargetMode="External" /><Relationship Type="http://schemas.openxmlformats.org/officeDocument/2006/relationships/hyperlink" Id="rId81" Target="https://doi.org/10.2753/MIS0742-1222240302" TargetMode="External" /><Relationship Type="http://schemas.openxmlformats.org/officeDocument/2006/relationships/hyperlink" Id="rId70" Target="https://github.com/MohitPratapSinghRathore/content-rot"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2307/25148625" TargetMode="External" /><Relationship Type="http://schemas.openxmlformats.org/officeDocument/2006/relationships/hyperlink" Id="rId74" Target="https://doi.org/10.25300/MISQ/2013/37.2.01" TargetMode="External" /><Relationship Type="http://schemas.openxmlformats.org/officeDocument/2006/relationships/hyperlink" Id="rId81" Target="https://doi.org/10.2753/MIS0742-1222240302" TargetMode="External" /><Relationship Type="http://schemas.openxmlformats.org/officeDocument/2006/relationships/hyperlink" Id="rId70"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Mohit Pratap Singh Rathore Oviqo Private Limited; Gunveer Sinh Kalsi Oviqo Private Limited; Sriharsha Meduri Oviqo Private Limited; Pratap Chandra Mandal Indian Institute of Management Shillong</dc:creator>
  <cp:keywords/>
  <dcterms:created xsi:type="dcterms:W3CDTF">2026-09-19T09:12:27Z</dcterms:created>
  <dcterms:modified xsi:type="dcterms:W3CDTF">2026-09-19T09:12:27Z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decide where to spend an artificial intelligence budget by asking which of a system’s failures the next model generation will remove on its own. The usual evidence is a decomposition: sort the errors into categories and fit a scaling curve to each.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The conflict is not only asymptotic. On our data the aggregate’s curvature is detectable inside the observed range, a quadratic term of +0.0403 [+0.0194, +0.0599] that excludes zero and halves the residual, so a single power law is a demonstrably wrong model of the total where the data actually are. Extrapolated, the fitted parts reach 1.27 times the fitted whole at one billion parameters. The repair is to derive the total from the parts rather than fit it separately, which needs no new machinery; what it costs is the aggregate exponent itself, whose effective slope drifts from -0.299 to -0.174, covering 27% of the span of the category exponents it is meant to summarise. We contribute the consistency condition, a diagnostic needing only the coefficients a study already prints,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