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+0.461 on the full ladder and</w:t>
      </w:r>
      <w:r>
        <w:t xml:space="preserve"> </w:t>
      </w:r>
      <w:r>
        <w:t xml:space="preserve">stays within [+0.360, +0.539] under every single-rung deletion, the largest shift</w:t>
      </w:r>
      <w:r>
        <w:t xml:space="preserve"> </w:t>
      </w:r>
      <w:r>
        <w:t xml:space="preserve">being 0.101.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as published, and that residual difference is</w:t>
      </w:r>
      <w:r>
        <w:t xml:space="preserve"> </w:t>
      </w:r>
      <w:r>
        <w:t xml:space="preserve">this drift 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first four are</w:t>
      </w:r>
      <w:r>
        <w:t xml:space="preserve"> </w:t>
      </w:r>
      <w:r>
        <w:t xml:space="preserve">decided by the move’s own two squares, a blocked path needs one further square, and a</w:t>
      </w:r>
      <w:r>
        <w:t xml:space="preserve"> </w:t>
      </w:r>
      <w:r>
        <w:t xml:space="preserve">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first four are decided by the move’s own two squares, a blocked path needs one further square,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increasing monotonically toward its upper bound of one as the</w:t>
      </w:r>
      <w:r>
        <w:t xml:space="preserve"> </w:t>
      </w:r>
      <w:r>
        <w:t xml:space="preserve">shallowest exponent comes to</w:t>
      </w:r>
      <w:r>
        <w:t xml:space="preserve"> </w:t>
      </w:r>
      <w:r>
        <w:t xml:space="preserve">dominate,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7"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End w:id="57"/>
    <w:bookmarkStart w:id="58"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8"/>
    <w:bookmarkStart w:id="63" w:name="sec:implications"/>
    <w:p>
      <w:pPr>
        <w:pStyle w:val="Heading1"/>
      </w:pPr>
      <w:r>
        <w:t xml:space="preserve">Implications for Individuals, Organisations, and Society</w:t>
      </w:r>
    </w:p>
    <w:bookmarkStart w:id="59"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59"/>
    <w:bookmarkStart w:id="60"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0"/>
    <w:bookmarkStart w:id="61"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1"/>
    <w:bookmarkStart w:id="62"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2"/>
    <w:bookmarkEnd w:id="63"/>
    <w:bookmarkStart w:id="66"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4"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4"/>
    <w:bookmarkStart w:id="65"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5"/>
    <w:bookmarkEnd w:id="66"/>
    <w:bookmarkStart w:id="67"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7"/>
    <w:bookmarkStart w:id="73" w:name="declarations"/>
    <w:p>
      <w:pPr>
        <w:pStyle w:val="Heading1"/>
      </w:pPr>
      <w:r>
        <w:t xml:space="preserve">Declarations</w:t>
      </w:r>
    </w:p>
    <w:bookmarkStart w:id="68" w:name="disclosure-statement."/>
    <w:p>
      <w:pPr>
        <w:pStyle w:val="Heading4"/>
      </w:pPr>
      <w:r>
        <w:t xml:space="preserve">Disclosure statement.</w:t>
      </w:r>
    </w:p>
    <w:p>
      <w:pPr>
        <w:pStyle w:val="FirstParagraph"/>
      </w:pPr>
      <w:r>
        <w:t xml:space="preserve">The authors report no conflict of interest.</w:t>
      </w:r>
    </w:p>
    <w:bookmarkEnd w:id="68"/>
    <w:bookmarkStart w:id="69"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69"/>
    <w:bookmarkStart w:id="71"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0">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1"/>
    <w:bookmarkStart w:id="7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2"/>
    <w:bookmarkEnd w:id="73"/>
    <w:bookmarkStart w:id="7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4"/>
    <w:bookmarkStart w:id="95"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94" w:name="refs"/>
    <w:bookmarkStart w:id="7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5"/>
    <w:bookmarkStart w:id="7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6"/>
    <w:bookmarkStart w:id="7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7"/>
    <w:bookmarkStart w:id="7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8"/>
    <w:bookmarkStart w:id="7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9"/>
    <w:bookmarkStart w:id="8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0"/>
    <w:bookmarkStart w:id="8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1"/>
    <w:bookmarkStart w:id="8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2"/>
    <w:bookmarkStart w:id="8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3"/>
    <w:bookmarkStart w:id="8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4"/>
    <w:bookmarkStart w:id="8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5">
        <w:r>
          <w:rPr>
            <w:rStyle w:val="Hyperlink"/>
          </w:rPr>
          <w:t xml:space="preserve">https://doi.org/10.18653/v1/2023.blackboxnlp-1.2</w:t>
        </w:r>
      </w:hyperlink>
      <w:r>
        <w:t xml:space="preserve">.</w:t>
      </w:r>
    </w:p>
    <w:bookmarkEnd w:id="86"/>
    <w:bookmarkStart w:id="8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7"/>
    <w:bookmarkStart w:id="88"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88"/>
    <w:bookmarkStart w:id="9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9">
        <w:r>
          <w:rPr>
            <w:rStyle w:val="Hyperlink"/>
          </w:rPr>
          <w:t xml:space="preserve">https://doi.org/10.1609/aaai.v36i10.21390</w:t>
        </w:r>
      </w:hyperlink>
      <w:r>
        <w:t xml:space="preserve">.</w:t>
      </w:r>
    </w:p>
    <w:bookmarkEnd w:id="90"/>
    <w:bookmarkStart w:id="9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1"/>
    <w:bookmarkStart w:id="9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2"/>
    <w:bookmarkStart w:id="9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89" Target="https://doi.org/10.1609/aaai.v36i10.21390" TargetMode="External" /><Relationship Type="http://schemas.openxmlformats.org/officeDocument/2006/relationships/hyperlink" Id="rId85" Target="https://doi.org/10.18653/v1/2023.blackboxnlp-1.2" TargetMode="External" /><Relationship Type="http://schemas.openxmlformats.org/officeDocument/2006/relationships/hyperlink" Id="rId70"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609/aaai.v36i10.21390" TargetMode="External" /><Relationship Type="http://schemas.openxmlformats.org/officeDocument/2006/relationships/hyperlink" Id="rId85" Target="https://doi.org/10.18653/v1/2023.blackboxnlp-1.2" TargetMode="External" /><Relationship Type="http://schemas.openxmlformats.org/officeDocument/2006/relationships/hyperlink" Id="rId70"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2026-10-08T11:43:41Z</dcterms:created>
  <dcterms:modified xsi:type="dcterms:W3CDTF">2026-10-08T11:43:41Z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