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correctly decoded local state have a flat absolute rate,</w:t>
      </w:r>
      <w:r>
        <w:t xml:space="preserve"> </w:t>
      </w:r>
      <w:r>
        <w:t xml:space="preserve">exponent +0.023, but that is two effects cancelling: decoding accuracy</w:t>
      </w:r>
      <w:r>
        <w:t xml:space="preserve"> </w:t>
      </w:r>
      <w:r>
        <w:t xml:space="preserve">rises and the conditional failure rate falls, exponent</w:t>
      </w:r>
      <w:r>
        <w:t xml:space="preserve"> </w:t>
      </w:r>
      <m:oMath>
        <m:r>
          <m:rPr>
            <m:sty m:val="p"/>
          </m:rPr>
          <m:t>−</m:t>
        </m:r>
      </m:oMath>
      <w:r>
        <w:t xml:space="preserve">0.125. The ordering replicates on an independent</w:t>
      </w:r>
      <w:r>
        <w:t xml:space="preserve"> </w:t>
      </w:r>
      <w:r>
        <w:t xml:space="preserve">character-level ladder spanning a 38-fold parameter range, and in</w:t>
      </w:r>
      <w:r>
        <w:t xml:space="preserve"> </w:t>
      </w:r>
      <w:r>
        <w:t xml:space="preserve">OthelloGPT every residual failure is of the non-local kind. The intervention results are consistent with this: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10</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from 3.349 at the</w:t>
      </w:r>
      <w:r>
        <w:t xml:space="preserve"> </w:t>
      </w:r>
      <w:r>
        <w:t xml:space="preserve">smallest rung to 2.700 at the largest, which confirms the ladder is one of capability</w:t>
      </w:r>
      <w:r>
        <w:t xml:space="preserve"> </w:t>
      </w:r>
      <w:r>
        <w:t xml:space="preserve">and not merely of parameter count.</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120 games</w:t>
      </w:r>
      <w:r>
        <w:t xml:space="preserve"> </w:t>
      </w:r>
      <w:r>
        <w:t xml:space="preserve">and 4,204 sampled illegal moves: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depends on at most 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strengthens the separation rather than weakening it: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5" w:name="sec:scaling"/>
    <w:p>
      <w:pPr>
        <w:pStyle w:val="Heading1"/>
      </w:pPr>
      <w:r>
        <w:t xml:space="preserve">Differential Scaling</w:t>
      </w:r>
    </w:p>
    <w:bookmarkStart w:id="27"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7"/>
    <w:bookmarkStart w:id="31" w:name="fig:scaling"/>
    <w:p>
      <w:pPr>
        <w:pStyle w:val="CaptionedFigure"/>
      </w:pPr>
      <w:r>
        <w:drawing>
          <wp:inline>
            <wp:extent cx="5334000" cy="1981200"/>
            <wp:effectExtent b="0" l="0" r="0" t="0"/>
            <wp:docPr descr="" title="" id="29" name="Picture"/>
            <a:graphic>
              <a:graphicData uri="http://schemas.openxmlformats.org/drawingml/2006/picture">
                <pic:pic>
                  <pic:nvPicPr>
                    <pic:cNvPr descr="scaling.png" id="30" name="Picture"/>
                    <pic:cNvPicPr>
                      <a:picLocks noChangeArrowheads="1" noChangeAspect="1"/>
                    </pic:cNvPicPr>
                  </pic:nvPicPr>
                  <pic:blipFill>
                    <a:blip r:embed="rId28"/>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31"/>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2"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2"/>
    <w:bookmarkStart w:id="33"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rising without bound toward one as the shallowest exponent comes to</w:t>
      </w:r>
      <w:r>
        <w:t xml:space="preserve"> </w:t>
      </w:r>
      <w:r>
        <w:t xml:space="preserve">dominate,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3"/>
    <w:bookmarkStart w:id="34"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4"/>
    <w:bookmarkEnd w:id="35"/>
    <w:bookmarkStart w:id="42" w:name="sec:external"/>
    <w:p>
      <w:pPr>
        <w:pStyle w:val="Heading1"/>
      </w:pPr>
      <w:r>
        <w:t xml:space="preserve">External Validity</w:t>
      </w:r>
    </w:p>
    <w:bookmarkStart w:id="36"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6"/>
    <w:bookmarkStart w:id="38"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7"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7"/>
    <w:bookmarkEnd w:id="38"/>
    <w:bookmarkStart w:id="39"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9"/>
    <w:bookmarkStart w:id="41"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0"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0"/>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1"/>
    <w:bookmarkEnd w:id="42"/>
    <w:bookmarkStart w:id="48"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43"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3"/>
    <w:bookmarkStart w:id="45"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4"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4"/>
    <w:bookmarkEnd w:id="45"/>
    <w:bookmarkStart w:id="46"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46"/>
    <w:bookmarkStart w:id="47"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13</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7"/>
    <w:bookmarkEnd w:id="48"/>
    <w:bookmarkStart w:id="50"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9"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9"/>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50"/>
    <w:bookmarkStart w:id="51"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1"/>
    <w:bookmarkStart w:id="56" w:name="sec:implications"/>
    <w:p>
      <w:pPr>
        <w:pStyle w:val="Heading1"/>
      </w:pPr>
      <w:r>
        <w:t xml:space="preserve">Implications for Individuals, Organisations, and Society</w:t>
      </w:r>
    </w:p>
    <w:bookmarkStart w:id="5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52"/>
    <w:bookmarkStart w:id="5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planning-level improvement is real but is cancelled in the headline number, so an</w:t>
      </w:r>
      <w:r>
        <w:t xml:space="preserve"> </w:t>
      </w:r>
      <w:r>
        <w:t xml:space="preserve">organisation reading only the joint rate will conclude wrongly that scale does nothing</w:t>
      </w:r>
      <w:r>
        <w:t xml:space="preserve"> </w:t>
      </w:r>
      <w:r>
        <w:t xml:space="preserve">for this class.</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because</w:t>
      </w:r>
      <w:r>
        <w:t xml:space="preserve"> </w:t>
      </w:r>
      <w:r>
        <w:t xml:space="preserve">hedging lowers it. An intervention scored that way can look effective while making</w:t>
      </w:r>
      <w:r>
        <w:t xml:space="preserve"> </w:t>
      </w:r>
      <w:r>
        <w:t xml:space="preserve">the system worse.</w:t>
      </w:r>
    </w:p>
    <w:bookmarkEnd w:id="53"/>
    <w:bookmarkStart w:id="5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54"/>
    <w:bookmarkStart w:id="5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55"/>
    <w:bookmarkEnd w:id="56"/>
    <w:bookmarkStart w:id="5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12</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5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therefore tests whether an effect holds at</w:t>
      </w:r>
      <w:r>
        <w:t xml:space="preserve"> </w:t>
      </w:r>
      <w:r>
        <w:t xml:space="preserve">every size, which is what we claim, and not whether it holds for a random model</w:t>
      </w:r>
      <w:r>
        <w:t xml:space="preserve"> </w:t>
      </w:r>
      <w:r>
        <w:t xml:space="preserve">drawn from some population of architectures, which we do not claim and could not</w:t>
      </w:r>
      <w:r>
        <w:t xml:space="preserve"> </w:t>
      </w:r>
      <w:r>
        <w:t xml:space="preserve">support from 6 sizes.</w:t>
      </w:r>
    </w:p>
    <w:bookmarkEnd w:id="57"/>
    <w:bookmarkStart w:id="5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58"/>
    <w:bookmarkEnd w:id="59"/>
    <w:bookmarkStart w:id="6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0"/>
    <w:bookmarkStart w:id="66" w:name="declarations"/>
    <w:p>
      <w:pPr>
        <w:pStyle w:val="Heading1"/>
      </w:pPr>
      <w:r>
        <w:t xml:space="preserve">Declarations</w:t>
      </w:r>
    </w:p>
    <w:bookmarkStart w:id="61" w:name="disclosure-statement."/>
    <w:p>
      <w:pPr>
        <w:pStyle w:val="Heading4"/>
      </w:pPr>
      <w:r>
        <w:t xml:space="preserve">Disclosure statement.</w:t>
      </w:r>
    </w:p>
    <w:p>
      <w:pPr>
        <w:pStyle w:val="FirstParagraph"/>
      </w:pPr>
      <w:r>
        <w:t xml:space="preserve">The authors report no conflict of interest.</w:t>
      </w:r>
    </w:p>
    <w:bookmarkEnd w:id="61"/>
    <w:bookmarkStart w:id="6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62"/>
    <w:bookmarkStart w:id="6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6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64"/>
    <w:bookmarkStart w:id="6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65"/>
    <w:bookmarkEnd w:id="66"/>
    <w:bookmarkStart w:id="6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67"/>
    <w:bookmarkStart w:id="88"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87" w:name="refs"/>
    <w:bookmarkStart w:id="68"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68"/>
    <w:bookmarkStart w:id="69"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69"/>
    <w:bookmarkStart w:id="70"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0"/>
    <w:bookmarkStart w:id="71"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1"/>
    <w:bookmarkStart w:id="72"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2"/>
    <w:bookmarkStart w:id="73"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73"/>
    <w:bookmarkStart w:id="74"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74"/>
    <w:bookmarkStart w:id="75"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75"/>
    <w:bookmarkStart w:id="76"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76"/>
    <w:bookmarkStart w:id="77"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77"/>
    <w:bookmarkStart w:id="79"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78">
        <w:r>
          <w:rPr>
            <w:rStyle w:val="Hyperlink"/>
          </w:rPr>
          <w:t xml:space="preserve">https://doi.org/10.18653/v1/2023.blackboxnlp-1.2</w:t>
        </w:r>
      </w:hyperlink>
      <w:r>
        <w:t xml:space="preserve">.</w:t>
      </w:r>
    </w:p>
    <w:bookmarkEnd w:id="79"/>
    <w:bookmarkStart w:id="80"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0"/>
    <w:bookmarkStart w:id="81"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81"/>
    <w:bookmarkStart w:id="83"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2">
        <w:r>
          <w:rPr>
            <w:rStyle w:val="Hyperlink"/>
          </w:rPr>
          <w:t xml:space="preserve">https://doi.org/10.1609/aaai.v36i10.21390</w:t>
        </w:r>
      </w:hyperlink>
      <w:r>
        <w:t xml:space="preserve">.</w:t>
      </w:r>
    </w:p>
    <w:bookmarkEnd w:id="83"/>
    <w:bookmarkStart w:id="84"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84"/>
    <w:bookmarkStart w:id="85"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85"/>
    <w:bookmarkStart w:id="86"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82" Target="https://doi.org/10.1609/aaai.v36i10.21390" TargetMode="External" /><Relationship Type="http://schemas.openxmlformats.org/officeDocument/2006/relationships/hyperlink" Id="rId78" Target="https://doi.org/10.18653/v1/2023.blackboxnlp-1.2" TargetMode="External" /><Relationship Type="http://schemas.openxmlformats.org/officeDocument/2006/relationships/hyperlink" Id="rId6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609/aaai.v36i10.21390" TargetMode="External" /><Relationship Type="http://schemas.openxmlformats.org/officeDocument/2006/relationships/hyperlink" Id="rId78" Target="https://doi.org/10.18653/v1/2023.blackboxnlp-1.2" TargetMode="External" /><Relationship Type="http://schemas.openxmlformats.org/officeDocument/2006/relationships/hyperlink" Id="rId6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2026-10-08T07:50:38Z</dcterms:created>
  <dcterms:modified xsi:type="dcterms:W3CDTF">2026-10-08T07:50:38Z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correctly decoded local state have a flat absolute rate, exponent +0.023, but that is two effects cancelling: decoding accuracy rises and the conditional failure rate falls, exponent -0.125. The ordering replicates on an independent character-level ladder spanning a 38-fold parameter range, and in OthelloGPT every residual failure is of the non-local kind. The intervention results are consistent with this: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