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 these</w:t>
      </w:r>
      <w:r>
        <w:t xml:space="preserve"> </w:t>
      </w:r>
      <w:r>
        <w:t xml:space="preserve">per-category fits and a separately fitted aggregate cannot both hold, since a sum of</w:t>
      </w:r>
      <w:r>
        <w:t xml:space="preserve"> </w:t>
      </w:r>
      <w:r>
        <w:t xml:space="preserve">power laws is not a power 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2"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Start w:id="21"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1"/>
    <w:bookmarkEnd w:id="22"/>
    <w:bookmarkStart w:id="31" w:name="sec:scaling"/>
    <w:p>
      <w:pPr>
        <w:pStyle w:val="Heading1"/>
      </w:pPr>
      <w:r>
        <w:t xml:space="preserve">Differential Scaling</w:t>
      </w:r>
    </w:p>
    <w:bookmarkStart w:id="23"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3"/>
    <w:bookmarkStart w:id="27" w:name="fig:scaling"/>
    <w:p>
      <w:pPr>
        <w:pStyle w:val="CaptionedFigure"/>
      </w:pPr>
      <w:r>
        <w:drawing>
          <wp:inline>
            <wp:extent cx="5334000" cy="1981200"/>
            <wp:effectExtent b="0" l="0" r="0" t="0"/>
            <wp:docPr descr="" title="" id="25" name="Picture"/>
            <a:graphic>
              <a:graphicData uri="http://schemas.openxmlformats.org/drawingml/2006/picture">
                <pic:pic>
                  <pic:nvPicPr>
                    <pic:cNvPr descr="scaling.png" id="26" name="Picture"/>
                    <pic:cNvPicPr>
                      <a:picLocks noChangeArrowheads="1" noChangeAspect="1"/>
                    </pic:cNvPicPr>
                  </pic:nvPicPr>
                  <pic:blipFill>
                    <a:blip r:embed="rId24"/>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7"/>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8"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8"/>
    <w:bookmarkStart w:id="29"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approaching but never exceeding 0.871,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29"/>
    <w:bookmarkStart w:id="30"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0"/>
    <w:bookmarkEnd w:id="31"/>
    <w:bookmarkStart w:id="38" w:name="sec:external"/>
    <w:p>
      <w:pPr>
        <w:pStyle w:val="Heading1"/>
      </w:pPr>
      <w:r>
        <w:t xml:space="preserve">External Validity</w:t>
      </w:r>
    </w:p>
    <w:bookmarkStart w:id="32"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2"/>
    <w:bookmarkStart w:id="34"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3"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3"/>
    <w:bookmarkEnd w:id="34"/>
    <w:bookmarkStart w:id="35"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5"/>
    <w:bookmarkStart w:id="37"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6"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6"/>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7"/>
    <w:bookmarkEnd w:id="38"/>
    <w:bookmarkStart w:id="43"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39"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9"/>
    <w:bookmarkStart w:id="41"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0"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0"/>
    <w:bookmarkEnd w:id="41"/>
    <w:bookmarkStart w:id="42"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2"/>
    <w:bookmarkEnd w:id="43"/>
    <w:bookmarkStart w:id="45"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4"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4"/>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5"/>
    <w:bookmarkStart w:id="46"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6"/>
    <w:bookmarkStart w:id="4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7"/>
    <w:bookmarkStart w:id="4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8"/>
    <w:bookmarkStart w:id="53" w:name="declarations"/>
    <w:p>
      <w:pPr>
        <w:pStyle w:val="Heading1"/>
      </w:pPr>
      <w:r>
        <w:t xml:space="preserve">Declarations</w:t>
      </w:r>
    </w:p>
    <w:bookmarkStart w:id="49" w:name="disclosure-statement."/>
    <w:p>
      <w:pPr>
        <w:pStyle w:val="Heading4"/>
      </w:pPr>
      <w:r>
        <w:t xml:space="preserve">Disclosure statement.</w:t>
      </w:r>
    </w:p>
    <w:p>
      <w:pPr>
        <w:pStyle w:val="FirstParagraph"/>
      </w:pPr>
      <w:r>
        <w:t xml:space="preserve">Removed for double-anonymous peer review.</w:t>
      </w:r>
    </w:p>
    <w:bookmarkEnd w:id="49"/>
    <w:bookmarkStart w:id="50" w:name="funding."/>
    <w:p>
      <w:pPr>
        <w:pStyle w:val="Heading4"/>
      </w:pPr>
      <w:r>
        <w:t xml:space="preserve">Funding.</w:t>
      </w:r>
    </w:p>
    <w:p>
      <w:pPr>
        <w:pStyle w:val="FirstParagraph"/>
      </w:pPr>
      <w:r>
        <w:t xml:space="preserve">Removed for double-anonymous peer review.</w:t>
      </w:r>
    </w:p>
    <w:bookmarkEnd w:id="50"/>
    <w:bookmarkStart w:id="51" w:name="data-availability-statement."/>
    <w:p>
      <w:pPr>
        <w:pStyle w:val="Heading4"/>
      </w:pPr>
      <w:r>
        <w:t xml:space="preserve">Data availability statement.</w:t>
      </w:r>
    </w:p>
    <w:p>
      <w:pPr>
        <w:pStyle w:val="FirstParagraph"/>
      </w:pPr>
      <w:r>
        <w:t xml:space="preserve">Trained checkpoints, analysis code, and every result file cited by the manuscript</w:t>
      </w:r>
      <w:r>
        <w:t xml:space="preserve"> </w:t>
      </w:r>
      <w:r>
        <w:t xml:space="preserve">are available from the corresponding author on reasonable request. External</w:t>
      </w:r>
      <w:r>
        <w:t xml:space="preserve"> </w:t>
      </w:r>
      <w:r>
        <w:t xml:space="preserve">checkpoints are public.</w:t>
      </w:r>
    </w:p>
    <w:bookmarkEnd w:id="51"/>
    <w:bookmarkStart w:id="52"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52"/>
    <w:bookmarkEnd w:id="53"/>
    <w:bookmarkStart w:id="54"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4"/>
    <w:bookmarkStart w:id="74"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3" w:name="refs"/>
    <w:bookmarkStart w:id="55"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5"/>
    <w:bookmarkStart w:id="56"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6"/>
    <w:bookmarkStart w:id="57"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7"/>
    <w:bookmarkStart w:id="58"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8"/>
    <w:bookmarkStart w:id="59"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9"/>
    <w:bookmarkStart w:id="60"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60"/>
    <w:bookmarkStart w:id="61"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1"/>
    <w:bookmarkStart w:id="62"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2"/>
    <w:bookmarkStart w:id="63"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3"/>
    <w:bookmarkStart w:id="64"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4"/>
    <w:bookmarkStart w:id="66"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5">
        <w:r>
          <w:rPr>
            <w:rStyle w:val="Hyperlink"/>
          </w:rPr>
          <w:t xml:space="preserve">https://doi.org/10.18653/v1/2023.blackboxnlp-1.2</w:t>
        </w:r>
      </w:hyperlink>
      <w:r>
        <w:t xml:space="preserve">.</w:t>
      </w:r>
    </w:p>
    <w:bookmarkEnd w:id="66"/>
    <w:bookmarkStart w:id="67"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7"/>
    <w:bookmarkStart w:id="69"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8">
        <w:r>
          <w:rPr>
            <w:rStyle w:val="Hyperlink"/>
          </w:rPr>
          <w:t xml:space="preserve">https://doi.org/10.1609/aaai.v36i10.21390</w:t>
        </w:r>
      </w:hyperlink>
      <w:r>
        <w:t xml:space="preserve">.</w:t>
      </w:r>
    </w:p>
    <w:bookmarkEnd w:id="69"/>
    <w:bookmarkStart w:id="70"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70"/>
    <w:bookmarkStart w:id="71"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1"/>
    <w:bookmarkStart w:id="72"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68" Target="https://doi.org/10.1609/aaai.v36i10.21390" TargetMode="External" /><Relationship Type="http://schemas.openxmlformats.org/officeDocument/2006/relationships/hyperlink" Id="rId65"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609/aaai.v36i10.21390" TargetMode="External" /><Relationship Type="http://schemas.openxmlformats.org/officeDocument/2006/relationships/hyperlink" Id="rId65"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2026-09-19T08:14:33Z</dcterms:created>
  <dcterms:modified xsi:type="dcterms:W3CDTF">2026-09-19T08:14:33Z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these per-category fits and a separately fitted aggregate cannot both hold, since a sum of power laws is not a power law; we derive the total from the categories instead.</vt:lpwstr>
  </property>
  <property fmtid="{D5CDD505-2E9C-101B-9397-08002B2CF9AE}" pid="3" name="bibliography">
    <vt:lpwstr/>
  </property>
  <property fmtid="{D5CDD505-2E9C-101B-9397-08002B2CF9AE}" pid="4" name="date">
    <vt:lpwstr/>
  </property>
</Properties>
</file>