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4"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The denominators are worth stating</w:t>
      </w:r>
      <w:r>
        <w:t xml:space="preserve"> </w:t>
      </w:r>
      <w:r>
        <w:t xml:space="preserve">separately, because they differ by a factor of 18 and the pooled figure is easy</w:t>
      </w:r>
      <w:r>
        <w:t xml:space="preserve"> </w:t>
      </w:r>
      <w:r>
        <w:t xml:space="preserve">to mistake for a corpus size. The evaluation split contributes 34,611 unique</w:t>
      </w:r>
      <w:r>
        <w:t xml:space="preserve"> </w:t>
      </w:r>
      <w:r>
        <w:t xml:space="preserve">scored positions, each model is evaluated at every one of them, and pooling over the</w:t>
      </w:r>
      <w:r>
        <w:t xml:space="preserve"> </w:t>
      </w:r>
      <w:r>
        <w:t xml:space="preserve">18 runs gives 622,998 model-position evaluations, at which 110,545</w:t>
      </w:r>
      <w:r>
        <w:t xml:space="preserve"> </w:t>
      </w:r>
      <w:r>
        <w:t xml:space="preserve">failures occur. Every rate in this paper is a failure count divided by the scored</w:t>
      </w:r>
      <w:r>
        <w:t xml:space="preserve"> </w:t>
      </w:r>
      <w:r>
        <w:t xml:space="preserve">positions of the same model, never by the pooled total,positions,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29"/>
    <w:bookmarkStart w:id="30"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each run’s 34,611 positions under both gates, 622,998 evaluations in</w:t>
      </w:r>
      <w:r>
        <w:t xml:space="preserve"> </w:t>
      </w:r>
      <w:r>
        <w:t xml:space="preserve">all,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0"/>
    <w:bookmarkStart w:id="31"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1"/>
    <w:bookmarkStart w:id="32" w:name="Xeb9c9099fe37e3a0590e1b61ca3af996776ebca"/>
    <w:p>
      <w:pPr>
        <w:pStyle w:val="Heading4"/>
      </w:pPr>
      <w:r>
        <w:t xml:space="preserve">Why the headline differential moved, one change at a time.</w:t>
      </w:r>
    </w:p>
    <w:p>
      <w:pPr>
        <w:pStyle w:val="FirstParagraph"/>
      </w:pPr>
      <w:r>
        <w:t xml:space="preserve">The differential is +0.492 [+0.278, +0.670] here</w:t>
      </w:r>
      <w:r>
        <w:t xml:space="preserve"> </w:t>
      </w:r>
      <w:r>
        <w:t xml:space="preserve">against +0.461 as published. An earlier version of this paragraph attributed that</w:t>
      </w:r>
      <w:r>
        <w:t xml:space="preserve"> </w:t>
      </w:r>
      <w:r>
        <w:t xml:space="preserve">movement to floating-point precision, because the original pass ran in float16 on a</w:t>
      </w:r>
      <w:r>
        <w:t xml:space="preserve"> </w:t>
      </w:r>
      <w:r>
        <w:t xml:space="preserve">GPU that is no longer attached and this one runs in float32 on CPU. That attribution</w:t>
      </w:r>
      <w:r>
        <w:t xml:space="preserve"> </w:t>
      </w:r>
      <w:r>
        <w:t xml:space="preserve">was not established, and we withdraw it: three things changed between the two</w:t>
      </w:r>
      <w:r>
        <w:t xml:space="preserve"> </w:t>
      </w:r>
      <w:r>
        <w:t xml:space="preserve">numbers, not one. The classifier changed, and so did the estimator, from sampled</w:t>
      </w:r>
      <w:r>
        <w:t xml:space="preserve"> </w:t>
      </w:r>
      <w:r>
        <w:t xml:space="preserve">shares rescaled by the aggregate rate to direct counts over every scored position.</w:t>
      </w:r>
    </w:p>
    <w:p>
      <w:pPr>
        <w:pStyle w:val="BodyText"/>
      </w:pPr>
      <w:r>
        <w:t xml:space="preserve">Varying them one at a time settles it. Holding the classifier, the sampling rule and</w:t>
      </w:r>
      <w:r>
        <w:t xml:space="preserve"> </w:t>
      </w:r>
      <w:r>
        <w:t xml:space="preserve">the estimator fixed and changing only the arithmetic moves the differential to</w:t>
      </w:r>
      <w:r>
        <w:t xml:space="preserve"> </w:t>
      </w:r>
      <w:r>
        <w:t xml:space="preserve">+0.456, a shift of -0.0052. Then holding the classifier and the arithmetic</w:t>
      </w:r>
      <w:r>
        <w:t xml:space="preserve"> </w:t>
      </w:r>
      <w:r>
        <w:t xml:space="preserve">fixed and replacing the sampled estimator with full-set counts moves it to</w:t>
      </w:r>
      <w:r>
        <w:t xml:space="preserve"> </w:t>
      </w:r>
      <w:r>
        <w:t xml:space="preserve">+0.492, a shift of +0.0364. Then changing the classifier moves it by</w:t>
      </w:r>
      <w:r>
        <w:t xml:space="preserve"> </w:t>
      </w:r>
      <w:r>
        <w:t xml:space="preserve">+0.0000. The three sum to the total +0.0312 by construction.</w:t>
      </w:r>
    </w:p>
    <w:p>
      <w:pPr>
        <w:pStyle w:val="BodyText"/>
      </w:pPr>
      <w:r>
        <w:t xml:space="preserve">So the dominant term is the estimator, not the hardware: the sampled estimator was</w:t>
      </w:r>
      <w:r>
        <w:t xml:space="preserve"> </w:t>
      </w:r>
      <w:r>
        <w:t xml:space="preserve">biased by corpus order, and correcting it accounts for most of the movement, while</w:t>
      </w:r>
      <w:r>
        <w:t xml:space="preserve"> </w:t>
      </w:r>
      <w:r>
        <w:t xml:space="preserve">precision accounts for a shift smaller by a factor of several. The classifier term is</w:t>
      </w:r>
      <w:r>
        <w:t xml:space="preserve"> </w:t>
      </w:r>
      <w:r>
        <w:t xml:space="preserve">exactly zero, which is an independent confirmation of the flow table above: no move</w:t>
      </w:r>
      <w:r>
        <w:t xml:space="preserve"> </w:t>
      </w:r>
      <w:r>
        <w:t xml:space="preserve">entered or left either class the differential is computed from, so relabelling could</w:t>
      </w:r>
      <w:r>
        <w:t xml:space="preserve"> </w:t>
      </w:r>
      <w:r>
        <w:t xml:space="preserve">not have changed it.</w:t>
      </w:r>
    </w:p>
    <w:p>
      <w:pPr>
        <w:pStyle w:val="BodyText"/>
      </w:pPr>
      <w:r>
        <w:t xml:space="preserve">One limit on the precision term is worth stating. Changing the arithmetic can change</w:t>
      </w:r>
      <w:r>
        <w:t xml:space="preserve"> </w:t>
      </w:r>
      <w:r>
        <w:t xml:space="preserve">which move is top-1 at a near-tie, so the realised set of sampled failures is not</w:t>
      </w:r>
      <w:r>
        <w:t xml:space="preserve"> </w:t>
      </w:r>
      <w:r>
        <w:t xml:space="preserve">identical between the first two configurations even though the sampling rule is.</w:t>
      </w:r>
      <w:r>
        <w:t xml:space="preserve"> </w:t>
      </w:r>
      <w:r>
        <w:t xml:space="preserve">There is no way to hold the sampled set fixed while changing the arithmetic that</w:t>
      </w:r>
      <w:r>
        <w:t xml:space="preserve"> </w:t>
      </w:r>
      <w:r>
        <w:t xml:space="preserve">selects it; what is held fixed is the classifier, the sampling rule and the estimator.</w:t>
      </w:r>
      <w:r>
        <w:t xml:space="preserve"> </w:t>
      </w:r>
      <w:r>
        <w:t xml:space="preserve">For the record, class shares between those two configurations move by 0.0011</w:t>
      </w:r>
      <w:r>
        <w:t xml:space="preserve"> </w:t>
      </w:r>
      <w:r>
        <w:t xml:space="preserve">on average and at most 0.0121.</w:t>
      </w:r>
    </w:p>
    <w:bookmarkEnd w:id="32"/>
    <w:bookmarkStart w:id="33"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both intervals</w:t>
      </w:r>
      <w:r>
        <w:t xml:space="preserve"> </w:t>
      </w:r>
      <w:r>
        <w:t xml:space="preserve">excluding zero and the two more than a factor of three apart. The aggregate geometry</w:t>
      </w:r>
      <w:r>
        <w:t xml:space="preserve"> </w:t>
      </w:r>
      <w:r>
        <w:t xml:space="preserve">exponent was averaging them, which is the same objection this paper raises against</w:t>
      </w:r>
      <w:r>
        <w:t xml:space="preserve"> </w:t>
      </w:r>
      <w:r>
        <w:t xml:space="preserve">fitting one exponent to a total whose parts scale differently, turned on one of our</w:t>
      </w:r>
      <w:r>
        <w:t xml:space="preserve"> </w:t>
      </w:r>
      <w:r>
        <w:t xml:space="preserve">own categories. Against the locally decided classes the check differential narrows</w:t>
      </w:r>
      <w:r>
        <w:t xml:space="preserve"> </w:t>
      </w:r>
      <w:r>
        <w:t xml:space="preserve">but survives: check against impossible movement is +0.126 [</w:t>
      </w:r>
      <w:r>
        <w:t xml:space="preserve"> </w:t>
      </w:r>
      <w:r>
        <w:t xml:space="preserve">+0.103, +0.156].</w:t>
      </w:r>
    </w:p>
    <w:p>
      <w:pPr>
        <w:pStyle w:val="BodyText"/>
      </w:pPr>
      <w:r>
        <w:t xml:space="preserve">What the blocked-path exponent does not settle is its ordering against check</w:t>
      </w:r>
      <w:r>
        <w:t xml:space="preserve"> </w:t>
      </w:r>
      <w:r>
        <w:t xml:space="preserve">violations. At -0.069 against -0.097 the two are separated by less than the</w:t>
      </w:r>
      <w:r>
        <w:t xml:space="preserve"> </w:t>
      </w:r>
      <w:r>
        <w:t xml:space="preserve">width of either interval, so which of them is the shallower class in the partition is</w:t>
      </w:r>
      <w:r>
        <w:t xml:space="preserve"> </w:t>
      </w:r>
      <w:r>
        <w:t xml:space="preserve">undetermined on 6 rungs. That is a different statement from the exponent being</w:t>
      </w:r>
      <w:r>
        <w:t xml:space="preserve"> </w:t>
      </w:r>
      <w:r>
        <w:t xml:space="preserve">indistinguishable from zero, which it is not, and we draw no ordering conclusion</w:t>
      </w:r>
      <w:r>
        <w:t xml:space="preserve"> </w:t>
      </w:r>
      <w:r>
        <w:t xml:space="preserve">between those two classes while drawing one between either of them and the locally</w:t>
      </w:r>
      <w:r>
        <w:t xml:space="preserve"> </w:t>
      </w:r>
      <w:r>
        <w:t xml:space="preserve">decided classes.</w:t>
      </w:r>
    </w:p>
    <w:bookmarkEnd w:id="33"/>
    <w:bookmarkEnd w:id="34"/>
    <w:bookmarkStart w:id="43" w:name="sec:scaling"/>
    <w:p>
      <w:pPr>
        <w:pStyle w:val="Heading1"/>
      </w:pPr>
      <w:r>
        <w:t xml:space="preserve">Differential Scaling</w:t>
      </w:r>
    </w:p>
    <w:bookmarkStart w:id="35"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5"/>
    <w:bookmarkStart w:id="39" w:name="fig:scaling"/>
    <w:p>
      <w:pPr>
        <w:pStyle w:val="CaptionedFigure"/>
      </w:pPr>
      <w:r>
        <w:drawing>
          <wp:inline>
            <wp:extent cx="5334000" cy="1981200"/>
            <wp:effectExtent b="0" l="0" r="0" t="0"/>
            <wp:docPr descr="" title="" id="37" name="Picture"/>
            <a:graphic>
              <a:graphicData uri="http://schemas.openxmlformats.org/drawingml/2006/picture">
                <pic:pic>
                  <pic:nvPicPr>
                    <pic:cNvPr descr="scaling.png" id="38" name="Picture"/>
                    <pic:cNvPicPr>
                      <a:picLocks noChangeArrowheads="1" noChangeAspect="1"/>
                    </pic:cNvPicPr>
                  </pic:nvPicPr>
                  <pic:blipFill>
                    <a:blip r:embed="rId36"/>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9"/>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faster than impossible movement,</w:t>
      </w:r>
      <w:r>
        <w:t xml:space="preserve"> </w:t>
      </w:r>
      <w:r>
        <w:t xml:space="preserve">at -0.415 against -0.222, despite needing more than the move’s two squares;</w:t>
      </w:r>
      <w:r>
        <w:t xml:space="preserve"> </w:t>
      </w:r>
      <w:r>
        <w:t xml:space="preserve">and blocked paths, which need only one further square, have the shallowest point</w:t>
      </w:r>
      <w:r>
        <w:t xml:space="preserve"> </w:t>
      </w:r>
      <w:r>
        <w:t xml:space="preserve">estimate of any class, -0.069, shallower even than check violations. Both</w:t>
      </w:r>
      <w:r>
        <w:t xml:space="preserve"> </w:t>
      </w:r>
      <w:r>
        <w:t xml:space="preserve">intervals exclude zero, so these are differences in rate rather than one class failing</w:t>
      </w:r>
      <w:r>
        <w:t xml:space="preserve"> </w:t>
      </w:r>
      <w:r>
        <w:t xml:space="preserve">to improve.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0"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0"/>
    <w:bookmarkStart w:id="41"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1"/>
    <w:bookmarkStart w:id="42"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2"/>
    <w:bookmarkEnd w:id="43"/>
    <w:bookmarkStart w:id="50" w:name="sec:external"/>
    <w:p>
      <w:pPr>
        <w:pStyle w:val="Heading1"/>
      </w:pPr>
      <w:r>
        <w:t xml:space="preserve">External Validity</w:t>
      </w:r>
    </w:p>
    <w:bookmarkStart w:id="44"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4"/>
    <w:bookmarkStart w:id="46"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5"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5"/>
    <w:bookmarkEnd w:id="46"/>
    <w:bookmarkStart w:id="47"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7"/>
    <w:bookmarkStart w:id="49"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8"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8"/>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9"/>
    <w:bookmarkEnd w:id="50"/>
    <w:bookmarkStart w:id="56"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1"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1"/>
    <w:bookmarkStart w:id="53"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2"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2"/>
    <w:bookmarkEnd w:id="53"/>
    <w:bookmarkStart w:id="54"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4"/>
    <w:bookmarkStart w:id="55"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5"/>
    <w:bookmarkEnd w:id="56"/>
    <w:bookmarkStart w:id="59"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7"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7"/>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8"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8"/>
    <w:bookmarkEnd w:id="59"/>
    <w:bookmarkStart w:id="60" w:name="discussion"/>
    <w:p>
      <w:pPr>
        <w:pStyle w:val="Heading1"/>
      </w:pPr>
      <w:r>
        <w:t xml:space="preserve">Discussion</w:t>
      </w:r>
    </w:p>
    <w:p>
      <w:pPr>
        <w:pStyle w:val="FirstParagraph"/>
      </w:pPr>
      <w:r>
        <w:t xml:space="preserve">The practical content is about where effort goes. The class that falls most slowly</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It does fall: its exponent is -0.097 with an interval</w:t>
      </w:r>
      <w:r>
        <w:t xml:space="preserve"> </w:t>
      </w:r>
      <w:r>
        <w:t xml:space="preserve">excluding zero. The quantity that is close to flat is a different one, the joint rate</w:t>
      </w:r>
      <w:r>
        <w:t xml:space="preserve"> </w:t>
      </w:r>
      <w:r>
        <w:t xml:space="preserve">of failures occurring despite correct local decoding, and that flatness is itself two</w:t>
      </w:r>
      <w:r>
        <w:t xml:space="preserve"> </w:t>
      </w:r>
      <w:r>
        <w:t xml:space="preserve">effects cancelling.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0"/>
    <w:bookmarkStart w:id="65" w:name="sec:implications"/>
    <w:p>
      <w:pPr>
        <w:pStyle w:val="Heading1"/>
      </w:pPr>
      <w:r>
        <w:t xml:space="preserve">Implications for Individuals, Organisations, and Society</w:t>
      </w:r>
    </w:p>
    <w:bookmarkStart w:id="61"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1"/>
    <w:bookmarkStart w:id="62"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2"/>
    <w:bookmarkStart w:id="63"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3"/>
    <w:bookmarkStart w:id="64"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4"/>
    <w:bookmarkEnd w:id="65"/>
    <w:bookmarkStart w:id="68"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6"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6"/>
    <w:bookmarkStart w:id="67"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7"/>
    <w:bookmarkEnd w:id="68"/>
    <w:bookmarkStart w:id="69"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69"/>
    <w:bookmarkStart w:id="74" w:name="declarations"/>
    <w:p>
      <w:pPr>
        <w:pStyle w:val="Heading1"/>
      </w:pPr>
      <w:r>
        <w:t xml:space="preserve">Declarations</w:t>
      </w:r>
    </w:p>
    <w:bookmarkStart w:id="70" w:name="disclosure-statement."/>
    <w:p>
      <w:pPr>
        <w:pStyle w:val="Heading4"/>
      </w:pPr>
      <w:r>
        <w:t xml:space="preserve">Disclosure statement.</w:t>
      </w:r>
    </w:p>
    <w:p>
      <w:pPr>
        <w:pStyle w:val="FirstParagraph"/>
      </w:pPr>
      <w:r>
        <w:t xml:space="preserve">Removed for double-anonymous peer review.</w:t>
      </w:r>
    </w:p>
    <w:bookmarkEnd w:id="70"/>
    <w:bookmarkStart w:id="71" w:name="funding."/>
    <w:p>
      <w:pPr>
        <w:pStyle w:val="Heading4"/>
      </w:pPr>
      <w:r>
        <w:t xml:space="preserve">Funding.</w:t>
      </w:r>
    </w:p>
    <w:p>
      <w:pPr>
        <w:pStyle w:val="FirstParagraph"/>
      </w:pPr>
      <w:r>
        <w:t xml:space="preserve">Removed for double-anonymous peer review.</w:t>
      </w:r>
    </w:p>
    <w:bookmarkEnd w:id="71"/>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6"/>
    <w:bookmarkStart w:id="96"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monotonically across this range, to 0.709 at the far end.</w:t>
      </w:r>
      <w:r>
        <w:t xml:space="preserve"> </w:t>
      </w:r>
      <w:r>
        <w:t xml:space="preserve">It does not turn over inside it: blocked paths have the shallowest exponent in the</w:t>
      </w:r>
      <w:r>
        <w:t xml:space="preserve"> </w:t>
      </w:r>
      <w:r>
        <w:t xml:space="preserve">corrected partition and must take the whole share eventually, but at</w:t>
      </w:r>
      <w:r>
        <w:t xml:space="preserve"> </w:t>
      </w:r>
      <m:oMath>
        <m:r>
          <m:rPr>
            <m:sty m:val="p"/>
          </m:rPr>
          <m:t>−</m:t>
        </m:r>
      </m:oMath>
      <w:r>
        <w:t xml:space="preserve">0.069</w:t>
      </w:r>
      <w:r>
        <w:t xml:space="preserve"> </w:t>
      </w:r>
      <w:r>
        <w:t xml:space="preserve">against -0.097 the crossing falls beyond the scales tabulated here. Every share</w:t>
      </w:r>
      <w:r>
        <w:t xml:space="preserve"> </w:t>
      </w:r>
      <w:r>
        <w:t xml:space="preserve">stays inside the unit interval, which is the bounded behaviour the simplex</w:t>
      </w:r>
      <w:r>
        <w:t xml:space="preserve"> </w:t>
      </w:r>
      <w:r>
        <w:t xml:space="preserve">parameterisation guarantees and the property the earlier unbounded fit lacked.</w:t>
      </w:r>
    </w:p>
    <w:p>
      <w:pPr>
        <w:pStyle w:val="BodyText"/>
      </w:pPr>
      <w:r>
        <w:t xml:space="preserve">The reordering should still be read as what the fitted model implies rather than as a</w:t>
      </w:r>
      <w:r>
        <w:t xml:space="preserve"> </w:t>
      </w:r>
      <w:r>
        <w:t xml:space="preserve">finding about large models, for a reason that is not that the exponent is</w:t>
      </w:r>
      <w:r>
        <w:t xml:space="preserve"> </w:t>
      </w:r>
      <w:r>
        <w:t xml:space="preserve">indistinguishable from zero. It is not: both intervals exclude zero. The difficulty is</w:t>
      </w:r>
      <w:r>
        <w:t xml:space="preserve"> </w:t>
      </w:r>
      <w:r>
        <w:t xml:space="preserve">that the two exponents are separated by less than the width of either interval, so</w:t>
      </w:r>
      <w:r>
        <w:t xml:space="preserve"> </w:t>
      </w:r>
      <w:r>
        <w:t xml:space="preserve">which class is shallower, and therefore which one eventually dominates, is not</w:t>
      </w:r>
      <w:r>
        <w:t xml:space="preserve"> </w:t>
      </w:r>
      <w:r>
        <w:t xml:space="preserve">resolved by 6 rungs.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5" w:name="refs"/>
    <w:bookmarkStart w:id="7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7"/>
    <w:bookmarkStart w:id="7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2"/>
    <w:bookmarkStart w:id="8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3"/>
    <w:bookmarkStart w:id="8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4"/>
    <w:bookmarkStart w:id="8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5"/>
    <w:bookmarkStart w:id="8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6"/>
    <w:bookmarkStart w:id="8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7">
        <w:r>
          <w:rPr>
            <w:rStyle w:val="Hyperlink"/>
          </w:rPr>
          <w:t xml:space="preserve">https://doi.org/10.18653/v1/2023.blackboxnlp-1.2</w:t>
        </w:r>
      </w:hyperlink>
      <w:r>
        <w:t xml:space="preserve">.</w:t>
      </w:r>
    </w:p>
    <w:bookmarkEnd w:id="88"/>
    <w:bookmarkStart w:id="8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9"/>
    <w:bookmarkStart w:id="91"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0">
        <w:r>
          <w:rPr>
            <w:rStyle w:val="Hyperlink"/>
          </w:rPr>
          <w:t xml:space="preserve">https://doi.org/10.1609/aaai.v36i10.21390</w:t>
        </w:r>
      </w:hyperlink>
      <w:r>
        <w:t xml:space="preserve">.</w:t>
      </w:r>
    </w:p>
    <w:bookmarkEnd w:id="91"/>
    <w:bookmarkStart w:id="92"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2"/>
    <w:bookmarkStart w:id="93"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3"/>
    <w:bookmarkStart w:id="94"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2026-10-08T16:37:12Z</dcterms:created>
  <dcterms:modified xsi:type="dcterms:W3CDTF">2026-10-08T16:37:12Z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