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 Finally,</w:t>
      </w:r>
      <w:r>
        <w:t xml:space="preserve"> </w:t>
      </w:r>
      <w:r>
        <w:t xml:space="preserve">per-category scaling fits are not closed. Whenever the exponents differ, the parts</w:t>
      </w:r>
      <w:r>
        <w:t xml:space="preserve"> </w:t>
      </w:r>
      <w:r>
        <w:t xml:space="preserve">must outgrow the whole beyond a computable scale; ours exceed it by</w:t>
      </w:r>
      <w:r>
        <w:t xml:space="preserve"> </w:t>
      </w:r>
      <w:r>
        <w:t xml:space="preserve">1.27-fold at one billion parameters, and Karvonen’s ladder reproduces</w:t>
      </w:r>
      <w:r>
        <w:t xml:space="preserve"> </w:t>
      </w:r>
      <w:r>
        <w:t xml:space="preserve">the defect. Fitting the composition on the simplex is closed by construction and</w:t>
      </w:r>
      <w:r>
        <w:t xml:space="preserve"> </w:t>
      </w:r>
      <w:r>
        <w:t xml:space="preserve">fits better in range.</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2"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9</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Geometry</w:t>
      </w:r>
      <w:r>
        <w:t xml:space="preserve"> </w:t>
      </w:r>
      <w:r>
        <w:t xml:space="preserve">depends on intervening squares, and check on the positions of every attacker.</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8"/>
    <w:bookmarkStart w:id="19"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19"/>
    <w:bookmarkStart w:id="20"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0"/>
    <w:bookmarkStart w:id="21"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1"/>
    <w:bookmarkEnd w:id="22"/>
    <w:bookmarkStart w:id="31" w:name="sec:scaling"/>
    <w:p>
      <w:pPr>
        <w:pStyle w:val="Heading1"/>
      </w:pPr>
      <w:r>
        <w:t xml:space="preserve">Differential Scaling</w:t>
      </w:r>
    </w:p>
    <w:bookmarkStart w:id="23"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3"/>
    <w:bookmarkStart w:id="27" w:name="fig:scaling"/>
    <w:p>
      <w:pPr>
        <w:pStyle w:val="CaptionedFigure"/>
      </w:pPr>
      <w:r>
        <w:drawing>
          <wp:inline>
            <wp:extent cx="5334000" cy="1981200"/>
            <wp:effectExtent b="0" l="0" r="0" t="0"/>
            <wp:docPr descr="" title="" id="25" name="Picture"/>
            <a:graphic>
              <a:graphicData uri="http://schemas.openxmlformats.org/drawingml/2006/picture">
                <pic:pic>
                  <pic:nvPicPr>
                    <pic:cNvPr descr="scaling.png" id="26" name="Picture"/>
                    <pic:cNvPicPr>
                      <a:picLocks noChangeArrowheads="1" noChangeAspect="1"/>
                    </pic:cNvPicPr>
                  </pic:nvPicPr>
                  <pic:blipFill>
                    <a:blip r:embed="rId24"/>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7"/>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8"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28"/>
    <w:bookmarkStart w:id="29"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We model the shares with a softmax linear in</w:t>
      </w:r>
      <w:r>
        <w:t xml:space="preserve"> </w:t>
      </w:r>
      <m:oMath>
        <m:r>
          <m:rPr>
            <m:sty m:val="p"/>
          </m:rPr>
          <m:t>log</m:t>
        </m:r>
        <m:r>
          <m:t>N</m:t>
        </m:r>
      </m:oMath>
      <w:r>
        <w:t xml:space="preserve">, which is closed by</w:t>
      </w:r>
      <w:r>
        <w:t xml:space="preserve"> </w:t>
      </w:r>
      <w:r>
        <w:t xml:space="preserve">construction: the shares sum to one at every scale and for every parameter value,</w:t>
      </w:r>
      <w:r>
        <w:t xml:space="preserve"> </w:t>
      </w:r>
      <w:r>
        <w:t xml:space="preserve">so a category can never be assigned more failures than occur. The illegal-move</w:t>
      </w:r>
      <w:r>
        <w:t xml:space="preserve"> </w:t>
      </w:r>
      <w:r>
        <w:t xml:space="preserve">rate keeps its own power law, which is legitimate because the total is not a part</w:t>
      </w:r>
      <w:r>
        <w:t xml:space="preserve"> </w:t>
      </w:r>
      <w:r>
        <w:t xml:space="preserve">of anything.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from 0.444</w:t>
      </w:r>
      <w:r>
        <w:t xml:space="preserve"> </w:t>
      </w:r>
      <w:r>
        <w:t xml:space="preserve">at our largest rung to 0.588 at one billion and 0.769</w:t>
      </w:r>
      <w:r>
        <w:t xml:space="preserve"> </w:t>
      </w:r>
      <w:r>
        <w:t xml:space="preserve">at one trillion, approaching but never exceeding 0.871, while the</w:t>
      </w:r>
      <w:r>
        <w:t xml:space="preserve"> </w:t>
      </w:r>
      <w:r>
        <w:t xml:space="preserve">locally decidable categories fall to 0.001. The paper’s qualitative</w:t>
      </w:r>
      <w:r>
        <w:t xml:space="preserve"> </w:t>
      </w:r>
      <w:r>
        <w:t xml:space="preserve">claim is unchanged. What changes is that the projection is now bounded by</w:t>
      </w:r>
      <w:r>
        <w:t xml:space="preserve"> </w:t>
      </w:r>
      <w:r>
        <w:t xml:space="preserve">construction, so the figures above are statements the categories can jointly</w:t>
      </w:r>
      <w:r>
        <w:t xml:space="preserve"> </w:t>
      </w:r>
      <w:r>
        <w:t xml:space="preserve">satisfy, which the earlier ones were not.</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rises from 0.308 at our largest rung to</w:t>
      </w:r>
      <w:r>
        <w:t xml:space="preserve"> </w:t>
      </w:r>
      <w:r>
        <w:t xml:space="preserve">0.596 at one billion and 0.951 at one trillion, having</w:t>
      </w:r>
      <w:r>
        <w:t xml:space="preserve"> </w:t>
      </w:r>
      <w:r>
        <w:t xml:space="preserve">been observed between 0.148 and 0.321.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29"/>
    <w:bookmarkStart w:id="30"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 So any per-category scaling fit whose exponents</w:t>
      </w:r>
      <w:r>
        <w:t xml:space="preserve"> </w:t>
      </w:r>
      <w:r>
        <w:t xml:space="preserve">differ at all, which is the entire reason for reporting them separately, must</w:t>
      </w:r>
      <w:r>
        <w:t xml:space="preserve"> </w:t>
      </w:r>
      <w:r>
        <w:t xml:space="preserve">describe an impossibility beyond some finite scale. That scale is computable from</w:t>
      </w:r>
      <w:r>
        <w:t xml:space="preserve"> </w:t>
      </w:r>
      <w:r>
        <w:t xml:space="preserve">the reported exponents alone: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30"/>
    <w:bookmarkEnd w:id="31"/>
    <w:bookmarkStart w:id="38" w:name="sec:external"/>
    <w:p>
      <w:pPr>
        <w:pStyle w:val="Heading1"/>
      </w:pPr>
      <w:r>
        <w:t xml:space="preserve">External Validity</w:t>
      </w:r>
    </w:p>
    <w:bookmarkStart w:id="32"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2"/>
    <w:bookmarkStart w:id="34"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3"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3"/>
    <w:bookmarkEnd w:id="34"/>
    <w:bookmarkStart w:id="35"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5"/>
    <w:bookmarkStart w:id="37"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6"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6"/>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7"/>
    <w:bookmarkEnd w:id="38"/>
    <w:bookmarkStart w:id="43"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39"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39"/>
    <w:bookmarkStart w:id="41"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40"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40"/>
    <w:bookmarkEnd w:id="41"/>
    <w:bookmarkStart w:id="42"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12</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2"/>
    <w:bookmarkEnd w:id="43"/>
    <w:bookmarkStart w:id="45"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4"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4"/>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5"/>
    <w:bookmarkStart w:id="46"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are not closed, and extending them makes claims the categories cannot jointly</w:t>
      </w:r>
      <w:r>
        <w:t xml:space="preserve"> </w:t>
      </w:r>
      <w:r>
        <w:t xml:space="preserve">satisfy.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0.490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6"/>
    <w:bookmarkStart w:id="47"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softmax link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11</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47"/>
    <w:bookmarkStart w:id="48"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48"/>
    <w:bookmarkStart w:id="53" w:name="declarations"/>
    <w:p>
      <w:pPr>
        <w:pStyle w:val="Heading1"/>
      </w:pPr>
      <w:r>
        <w:t xml:space="preserve">Declarations</w:t>
      </w:r>
    </w:p>
    <w:bookmarkStart w:id="49" w:name="disclosure-statement."/>
    <w:p>
      <w:pPr>
        <w:pStyle w:val="Heading4"/>
      </w:pPr>
      <w:r>
        <w:t xml:space="preserve">Disclosure statement.</w:t>
      </w:r>
    </w:p>
    <w:p>
      <w:pPr>
        <w:pStyle w:val="FirstParagraph"/>
      </w:pPr>
      <w:r>
        <w:t xml:space="preserve">The authors report no conflict of interest.</w:t>
      </w:r>
    </w:p>
    <w:bookmarkEnd w:id="49"/>
    <w:bookmarkStart w:id="50"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0"/>
    <w:bookmarkStart w:id="51" w:name="data-availability-statement."/>
    <w:p>
      <w:pPr>
        <w:pStyle w:val="Heading4"/>
      </w:pPr>
      <w:r>
        <w:t xml:space="preserve">Data availability statement.</w:t>
      </w:r>
    </w:p>
    <w:p>
      <w:pPr>
        <w:pStyle w:val="FirstParagraph"/>
      </w:pPr>
      <w:r>
        <w:t xml:space="preserve">Trained checkpoints, analysis code, and every result file cited by the manuscript</w:t>
      </w:r>
      <w:r>
        <w:t xml:space="preserve"> </w:t>
      </w:r>
      <w:r>
        <w:t xml:space="preserve">are available from the corresponding author on reasonable request. External</w:t>
      </w:r>
      <w:r>
        <w:t xml:space="preserve"> </w:t>
      </w:r>
      <w:r>
        <w:t xml:space="preserve">checkpoints are public.</w:t>
      </w:r>
    </w:p>
    <w:bookmarkEnd w:id="51"/>
    <w:bookmarkStart w:id="52" w:name="ai-usage-declaration."/>
    <w:p>
      <w:pPr>
        <w:pStyle w:val="Heading4"/>
      </w:pPr>
      <w:r>
        <w:t xml:space="preserve">AI usage declaration.</w:t>
      </w:r>
    </w:p>
    <w:p>
      <w:pPr>
        <w:pStyle w:val="FirstParagraph"/>
      </w:pPr>
      <w:r>
        <w:t xml:space="preserve">During preparation the authors used a generative AI tool to assist with analysis</w:t>
      </w:r>
      <w:r>
        <w:t xml:space="preserve"> </w:t>
      </w:r>
      <w:r>
        <w:t xml:space="preserve">code and language editing. The authors reviewed and edited all output and take full</w:t>
      </w:r>
      <w:r>
        <w:t xml:space="preserve"> </w:t>
      </w:r>
      <w:r>
        <w:t xml:space="preserve">responsibility for the content.</w:t>
      </w:r>
    </w:p>
    <w:bookmarkEnd w:id="52"/>
    <w:bookmarkEnd w:id="53"/>
    <w:bookmarkStart w:id="54"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54"/>
    <w:bookmarkStart w:id="75"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74" w:name="refs"/>
    <w:bookmarkStart w:id="55"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55"/>
    <w:bookmarkStart w:id="56"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56"/>
    <w:bookmarkStart w:id="57"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57"/>
    <w:bookmarkStart w:id="58"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58"/>
    <w:bookmarkStart w:id="59"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59"/>
    <w:bookmarkStart w:id="60"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60"/>
    <w:bookmarkStart w:id="61"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61"/>
    <w:bookmarkStart w:id="62"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62"/>
    <w:bookmarkStart w:id="63"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63"/>
    <w:bookmarkStart w:id="64"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64"/>
    <w:bookmarkStart w:id="66"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65">
        <w:r>
          <w:rPr>
            <w:rStyle w:val="Hyperlink"/>
          </w:rPr>
          <w:t xml:space="preserve">https://doi.org/10.18653/v1/2023.blackboxnlp-1.2</w:t>
        </w:r>
      </w:hyperlink>
      <w:r>
        <w:t xml:space="preserve">.</w:t>
      </w:r>
    </w:p>
    <w:bookmarkEnd w:id="66"/>
    <w:bookmarkStart w:id="67"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67"/>
    <w:bookmarkStart w:id="68"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68"/>
    <w:bookmarkStart w:id="70"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69">
        <w:r>
          <w:rPr>
            <w:rStyle w:val="Hyperlink"/>
          </w:rPr>
          <w:t xml:space="preserve">https://doi.org/10.1609/aaai.v36i10.21390</w:t>
        </w:r>
      </w:hyperlink>
      <w:r>
        <w:t xml:space="preserve">.</w:t>
      </w:r>
    </w:p>
    <w:bookmarkEnd w:id="70"/>
    <w:bookmarkStart w:id="71"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71"/>
    <w:bookmarkStart w:id="72"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72"/>
    <w:bookmarkStart w:id="73"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69" Target="https://doi.org/10.1609/aaai.v36i10.21390" TargetMode="External" /><Relationship Type="http://schemas.openxmlformats.org/officeDocument/2006/relationships/hyperlink" Id="rId65"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609/aaai.v36i10.21390" TargetMode="External" /><Relationship Type="http://schemas.openxmlformats.org/officeDocument/2006/relationships/hyperlink" Id="rId65"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Sinh Kalsi Oviqo Private Limited; Sriharsha Meduri Oviqo Private Limited</dc:creator>
  <cp:keywords/>
  <dcterms:created xsi:type="dcterms:W3CDTF">2026-09-18T15:36:25Z</dcterms:created>
  <dcterms:modified xsi:type="dcterms:W3CDTF">2026-09-18T15:36:25Z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 Finally, per-category scaling fits are not closed. Whenever the exponents differ, the parts must outgrow the whole beyond a computable scale; ours exceed it by 1.27-fold at one billion parameters, and Karvonen’s ladder reproduces the defect. Fitting the composition on the simplex is closed by construction and fits better in range.</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