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w:t>
      </w:r>
      <w:r>
        <w:t xml:space="preserve"> </w:t>
      </w:r>
      <w:r>
        <w:t xml:space="preserve">per-category scaling fits are not closed. Whenever the exponents differ, the parts</w:t>
      </w:r>
      <w:r>
        <w:t xml:space="preserve"> </w:t>
      </w:r>
      <w:r>
        <w:t xml:space="preserve">must outgrow the whole beyond a computable scale; ours exceed it by</w:t>
      </w:r>
      <w:r>
        <w:t xml:space="preserve"> </w:t>
      </w:r>
      <w:r>
        <w:t xml:space="preserve">1.27-fold at one billion parameters, and Karvonen’s ladder reproduces</w:t>
      </w:r>
      <w:r>
        <w:t xml:space="preserve"> </w:t>
      </w:r>
      <w:r>
        <w:t xml:space="preserve">the defect. Fitting the composition on the simplex is closed by construction and</w:t>
      </w:r>
      <w:r>
        <w:t xml:space="preserve"> </w:t>
      </w:r>
      <w:r>
        <w:t xml:space="preserve">fits better in range.</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2"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Start w:id="21"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1"/>
    <w:bookmarkEnd w:id="22"/>
    <w:bookmarkStart w:id="31" w:name="sec:scaling"/>
    <w:p>
      <w:pPr>
        <w:pStyle w:val="Heading1"/>
      </w:pPr>
      <w:r>
        <w:t xml:space="preserve">Differential Scaling</w:t>
      </w:r>
    </w:p>
    <w:bookmarkStart w:id="23"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3"/>
    <w:bookmarkStart w:id="27" w:name="fig:scaling"/>
    <w:p>
      <w:pPr>
        <w:pStyle w:val="CaptionedFigure"/>
      </w:pPr>
      <w:r>
        <w:drawing>
          <wp:inline>
            <wp:extent cx="5334000" cy="1981200"/>
            <wp:effectExtent b="0" l="0" r="0" t="0"/>
            <wp:docPr descr="" title="" id="25" name="Picture"/>
            <a:graphic>
              <a:graphicData uri="http://schemas.openxmlformats.org/drawingml/2006/picture">
                <pic:pic>
                  <pic:nvPicPr>
                    <pic:cNvPr descr="scaling.png" id="26" name="Picture"/>
                    <pic:cNvPicPr>
                      <a:picLocks noChangeArrowheads="1" noChangeAspect="1"/>
                    </pic:cNvPicPr>
                  </pic:nvPicPr>
                  <pic:blipFill>
                    <a:blip r:embed="rId24"/>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7"/>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8"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8"/>
    <w:bookmarkStart w:id="29"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We model the shares with a softmax linear in</w:t>
      </w:r>
      <w:r>
        <w:t xml:space="preserve"> </w:t>
      </w:r>
      <m:oMath>
        <m:r>
          <m:rPr>
            <m:sty m:val="p"/>
          </m:rPr>
          <m:t>log</m:t>
        </m:r>
        <m:r>
          <m:t>N</m:t>
        </m:r>
      </m:oMath>
      <w:r>
        <w:t xml:space="preserve">, which is closed by</w:t>
      </w:r>
      <w:r>
        <w:t xml:space="preserve"> </w:t>
      </w:r>
      <w:r>
        <w:t xml:space="preserve">construction: the shares sum to one at every scale and for every parameter value,</w:t>
      </w:r>
      <w:r>
        <w:t xml:space="preserve"> </w:t>
      </w:r>
      <w:r>
        <w:t xml:space="preserve">so a category can never be assigned more failures than occur. The illegal-move</w:t>
      </w:r>
      <w:r>
        <w:t xml:space="preserve"> </w:t>
      </w:r>
      <w:r>
        <w:t xml:space="preserve">rate keeps its own power law, which is legitimate because the total is not a part</w:t>
      </w:r>
      <w:r>
        <w:t xml:space="preserve"> </w:t>
      </w:r>
      <w:r>
        <w:t xml:space="preserve">of anything.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approaching but never exceeding 0.871,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29"/>
    <w:bookmarkStart w:id="30"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0"/>
    <w:bookmarkEnd w:id="31"/>
    <w:bookmarkStart w:id="38" w:name="sec:external"/>
    <w:p>
      <w:pPr>
        <w:pStyle w:val="Heading1"/>
      </w:pPr>
      <w:r>
        <w:t xml:space="preserve">External Validity</w:t>
      </w:r>
    </w:p>
    <w:bookmarkStart w:id="32"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2"/>
    <w:bookmarkStart w:id="34"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3"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3"/>
    <w:bookmarkEnd w:id="34"/>
    <w:bookmarkStart w:id="35"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5"/>
    <w:bookmarkStart w:id="37"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6"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6"/>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7"/>
    <w:bookmarkEnd w:id="38"/>
    <w:bookmarkStart w:id="43"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39"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9"/>
    <w:bookmarkStart w:id="41"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0"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0"/>
    <w:bookmarkEnd w:id="41"/>
    <w:bookmarkStart w:id="42"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2"/>
    <w:bookmarkEnd w:id="43"/>
    <w:bookmarkStart w:id="45"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4"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4"/>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5"/>
    <w:bookmarkStart w:id="46"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are not closed, and extending them makes claims the categories cannot jointly</w:t>
      </w:r>
      <w:r>
        <w:t xml:space="preserve"> </w:t>
      </w:r>
      <w:r>
        <w:t xml:space="preserve">satisfy.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6"/>
    <w:bookmarkStart w:id="4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softmax link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7"/>
    <w:bookmarkStart w:id="4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8"/>
    <w:bookmarkStart w:id="53" w:name="declarations"/>
    <w:p>
      <w:pPr>
        <w:pStyle w:val="Heading1"/>
      </w:pPr>
      <w:r>
        <w:t xml:space="preserve">Declarations</w:t>
      </w:r>
    </w:p>
    <w:bookmarkStart w:id="49" w:name="disclosure-statement."/>
    <w:p>
      <w:pPr>
        <w:pStyle w:val="Heading4"/>
      </w:pPr>
      <w:r>
        <w:t xml:space="preserve">Disclosure statement.</w:t>
      </w:r>
    </w:p>
    <w:p>
      <w:pPr>
        <w:pStyle w:val="FirstParagraph"/>
      </w:pPr>
      <w:r>
        <w:t xml:space="preserve">Removed for double-anonymous peer review.</w:t>
      </w:r>
    </w:p>
    <w:bookmarkEnd w:id="49"/>
    <w:bookmarkStart w:id="50" w:name="funding."/>
    <w:p>
      <w:pPr>
        <w:pStyle w:val="Heading4"/>
      </w:pPr>
      <w:r>
        <w:t xml:space="preserve">Funding.</w:t>
      </w:r>
    </w:p>
    <w:p>
      <w:pPr>
        <w:pStyle w:val="FirstParagraph"/>
      </w:pPr>
      <w:r>
        <w:t xml:space="preserve">Removed for double-anonymous peer review.</w:t>
      </w:r>
    </w:p>
    <w:bookmarkEnd w:id="50"/>
    <w:bookmarkStart w:id="51"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51"/>
    <w:bookmarkStart w:id="52"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2"/>
    <w:bookmarkEnd w:id="53"/>
    <w:bookmarkStart w:id="54"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4"/>
    <w:bookmarkStart w:id="74"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3" w:name="refs"/>
    <w:bookmarkStart w:id="55"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5"/>
    <w:bookmarkStart w:id="56"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6"/>
    <w:bookmarkStart w:id="57"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7"/>
    <w:bookmarkStart w:id="58"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8"/>
    <w:bookmarkStart w:id="59"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9"/>
    <w:bookmarkStart w:id="60"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60"/>
    <w:bookmarkStart w:id="61"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1"/>
    <w:bookmarkStart w:id="62"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2"/>
    <w:bookmarkStart w:id="63"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3"/>
    <w:bookmarkStart w:id="64"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4"/>
    <w:bookmarkStart w:id="66"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5">
        <w:r>
          <w:rPr>
            <w:rStyle w:val="Hyperlink"/>
          </w:rPr>
          <w:t xml:space="preserve">https://doi.org/10.18653/v1/2023.blackboxnlp-1.2</w:t>
        </w:r>
      </w:hyperlink>
      <w:r>
        <w:t xml:space="preserve">.</w:t>
      </w:r>
    </w:p>
    <w:bookmarkEnd w:id="66"/>
    <w:bookmarkStart w:id="67"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7"/>
    <w:bookmarkStart w:id="69"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8">
        <w:r>
          <w:rPr>
            <w:rStyle w:val="Hyperlink"/>
          </w:rPr>
          <w:t xml:space="preserve">https://doi.org/10.1609/aaai.v36i10.21390</w:t>
        </w:r>
      </w:hyperlink>
      <w:r>
        <w:t xml:space="preserve">.</w:t>
      </w:r>
    </w:p>
    <w:bookmarkEnd w:id="69"/>
    <w:bookmarkStart w:id="70"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0"/>
    <w:bookmarkStart w:id="71"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1"/>
    <w:bookmarkStart w:id="72"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68" Target="https://doi.org/10.1609/aaai.v36i10.21390" TargetMode="External" /><Relationship Type="http://schemas.openxmlformats.org/officeDocument/2006/relationships/hyperlink" Id="rId65"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609/aaai.v36i10.21390" TargetMode="External" /><Relationship Type="http://schemas.openxmlformats.org/officeDocument/2006/relationships/hyperlink" Id="rId65"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2026-09-18T15:36:26Z</dcterms:created>
  <dcterms:modified xsi:type="dcterms:W3CDTF">2026-09-18T15:36:26Z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per-category scaling fits are not closed. Whenever the exponents differ, the parts must outgrow the whole beyond a computable scale; ours exceed it by 1.27-fold at one billion parameters, and Karvonen’s ladder reproduces the defect. Fitting the composition on the simplex is closed by construction and fits better in range.</vt:lpwstr>
  </property>
  <property fmtid="{D5CDD505-2E9C-101B-9397-08002B2CF9AE}" pid="3" name="bibliography">
    <vt:lpwstr/>
  </property>
  <property fmtid="{D5CDD505-2E9C-101B-9397-08002B2CF9AE}" pid="4" name="date">
    <vt:lpwstr/>
  </property>
</Properties>
</file>