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rPr>
          <w:rStyle w:val="FootnoteReference"/>
        </w:rPr>
        <w:footnoteReference w:id="9"/>
      </w:r>
      <w:r>
        <w:br/>
      </w:r>
      <w:r>
        <w:t xml:space="preserve">Oviqo Private Limited</w:t>
      </w:r>
    </w:p>
    <w:p>
      <w:pPr>
        <w:pStyle w:val="Author"/>
      </w:pPr>
      <w:r>
        <w:t xml:space="preserve">Gunveer Singh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-0.397, while</w:t>
      </w:r>
      <w:r>
        <w:t xml:space="preserve"> </w:t>
      </w:r>
      <w:r>
        <w:t xml:space="preserve">moves illegal only because they leave the king in check fall with exponent</w:t>
      </w:r>
      <w:r>
        <w:t xml:space="preserve"> </w:t>
      </w:r>
      <w:r>
        <w:t xml:space="preserve">-0.097: a paired differential of +0.301 [+0.213,</w:t>
      </w:r>
      <w:r>
        <w:t xml:space="preserve"> </w:t>
      </w:r>
      <w:r>
        <w:t xml:space="preserve">+0.375]. Every</w:t>
      </w:r>
      <w:r>
        <w:t xml:space="preserve"> </w:t>
      </w:r>
      <w:r>
        <w:t xml:space="preserve">class improves, every interval excluding zero;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0.184.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2"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10"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4.3-fold across our ladder and the check class</w:t>
      </w:r>
      <w:r>
        <w:t xml:space="preserve"> </w:t>
      </w:r>
      <w:r>
        <w:t xml:space="preserve">1.3-fold, a differential exponent of +0.492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exponent whose interval excludes zero;</w:t>
      </w:r>
      <w:r>
        <w:t xml:space="preserve"> </w:t>
      </w:r>
      <w:r>
        <w:t xml:space="preserve">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10"/>
    <w:bookmarkStart w:id="11"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1"/>
    <w:bookmarkEnd w:id="12"/>
    <w:bookmarkStart w:id="17" w:name="related-work"/>
    <w:p>
      <w:pPr>
        <w:pStyle w:val="Heading1"/>
      </w:pPr>
      <w:r>
        <w:t xml:space="preserve">Related Work</w:t>
      </w:r>
    </w:p>
    <w:bookmarkStart w:id="13"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3"/>
    <w:bookmarkStart w:id="14"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4"/>
    <w:bookmarkStart w:id="15"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5"/>
    <w:bookmarkStart w:id="16"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6"/>
    <w:bookmarkEnd w:id="17"/>
    <w:bookmarkStart w:id="27" w:name="sec:setup"/>
    <w:p>
      <w:pPr>
        <w:pStyle w:val="Heading1"/>
      </w:pPr>
      <w:r>
        <w:t xml:space="preserve">Setup</w:t>
      </w:r>
    </w:p>
    <w:bookmarkStart w:id="18"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8"/>
    <w:bookmarkStart w:id="19"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9"/>
    <w:bookmarkStart w:id="20"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20"/>
    <w:bookmarkStart w:id="21"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1"/>
    <w:bookmarkStart w:id="22"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2"/>
    <w:bookmarkStart w:id="23"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3"/>
    <w:bookmarkStart w:id="24"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4"/>
    <w:bookmarkStart w:id="25"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+0.492 on the full ladder and</w:t>
      </w:r>
      <w:r>
        <w:t xml:space="preserve"> </w:t>
      </w:r>
      <w:r>
        <w:t xml:space="preserve">stays within [+0.357, +0.582] under every single-rung deletion, the largest shift</w:t>
      </w:r>
      <w:r>
        <w:t xml:space="preserve"> </w:t>
      </w:r>
      <w:r>
        <w:t xml:space="preserve">being 0.135.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5"/>
    <w:bookmarkStart w:id="26"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6"/>
    <w:bookmarkEnd w:id="27"/>
    <w:bookmarkStart w:id="35"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8"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8"/>
    <w:bookmarkStart w:id="29"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9"/>
    <w:bookmarkStart w:id="30" w:name="X556ef79be9a0b7660b45bd16db90d41377b87b6"/>
    <w:p>
      <w:pPr>
        <w:pStyle w:val="Heading4"/>
      </w:pPr>
      <w:r>
        <w:t xml:space="preserve">No legal move was ever counted as a failure.</w:t>
      </w:r>
    </w:p>
    <w:p>
      <w:pPr>
        <w:pStyle w:val="FirstParagraph"/>
      </w:pPr>
      <w:r>
        <w:t xml:space="preserve">Two populations are involved and it matters which is which. The relabelling audit</w:t>
      </w:r>
      <w:r>
        <w:t xml:space="preserve"> </w:t>
      </w:r>
      <w:r>
        <w:t xml:space="preserve">uses a fixed-size sample, the first 900 failures each model makes while the</w:t>
      </w:r>
      <w:r>
        <w:t xml:space="preserve"> </w:t>
      </w:r>
      <w:r>
        <w:t xml:space="preserve">evaluation games are read in corpus order, 16,200 across all 18 runs, and that</w:t>
      </w:r>
      <w:r>
        <w:t xml:space="preserve"> </w:t>
      </w:r>
      <w:r>
        <w:t xml:space="preserve">sample exists because it carries both labels for every move and is the record of what</w:t>
      </w:r>
      <w:r>
        <w:t xml:space="preserve"> </w:t>
      </w:r>
      <w:r>
        <w:t xml:space="preserve">the classifier change did. The rates in Table </w:t>
      </w:r>
      <w:hyperlink w:anchor="tab:exponents">
        <w:r>
          <w:rPr>
            <w:rStyle w:val="Hyperlink"/>
          </w:rPr>
          <w:t xml:space="preserve">1</w:t>
        </w:r>
      </w:hyperlink>
      <w:r>
        <w:t xml:space="preserve"> </w:t>
      </w:r>
      <w:r>
        <w:t xml:space="preserve">do not come from it.</w:t>
      </w:r>
    </w:p>
    <w:p>
      <w:pPr>
        <w:pStyle w:val="BodyText"/>
      </w:pPr>
      <w:r>
        <w:t xml:space="preserve">An earlier version of this section did use that sample for the rates, multiplying its</w:t>
      </w:r>
      <w:r>
        <w:t xml:space="preserve"> </w:t>
      </w:r>
      <w:r>
        <w:t xml:space="preserve">class shares by the full-set illegal-move rate. That makes each class rate an estimate</w:t>
      </w:r>
      <w:r>
        <w:t xml:space="preserve"> </w:t>
      </w:r>
      <w:r>
        <w:t xml:space="preserve">whose validity rests on the first 900 failures being representative of all of them,</w:t>
      </w:r>
      <w:r>
        <w:t xml:space="preserve"> </w:t>
      </w:r>
      <w:r>
        <w:t xml:space="preserve">and corpus order is not random: a model failing more often in early games reaches its</w:t>
      </w:r>
      <w:r>
        <w:t xml:space="preserve"> </w:t>
      </w:r>
      <w:r>
        <w:t xml:space="preserve">900th failure sooner and is then described by a narrower slice of the corpus. The</w:t>
      </w:r>
      <w:r>
        <w:t xml:space="preserve"> </w:t>
      </w:r>
      <w:r>
        <w:t xml:space="preserve">assumption was avoidable, so we removed it rather than stating it. Every failure at</w:t>
      </w:r>
      <w:r>
        <w:t xml:space="preserve"> </w:t>
      </w:r>
      <w:r>
        <w:t xml:space="preserve">every scored position is now classified. The denominators are worth stating</w:t>
      </w:r>
      <w:r>
        <w:t xml:space="preserve"> </w:t>
      </w:r>
      <w:r>
        <w:t xml:space="preserve">separately, because they differ by a factor of 18 and the pooled figure is easy</w:t>
      </w:r>
      <w:r>
        <w:t xml:space="preserve"> </w:t>
      </w:r>
      <w:r>
        <w:t xml:space="preserve">to mistake for a corpus size. The evaluation split contributes 34,611 unique</w:t>
      </w:r>
      <w:r>
        <w:t xml:space="preserve"> </w:t>
      </w:r>
      <w:r>
        <w:t xml:space="preserve">scored positions, each model is evaluated at every one of them, and pooling over the</w:t>
      </w:r>
      <w:r>
        <w:t xml:space="preserve"> </w:t>
      </w:r>
      <w:r>
        <w:t xml:space="preserve">18 runs gives 622,998 model-position evaluations, at which 110,545</w:t>
      </w:r>
      <w:r>
        <w:t xml:space="preserve"> </w:t>
      </w:r>
      <w:r>
        <w:t xml:space="preserve">failures occur. Every rate in this paper is a failure count divided by the scored</w:t>
      </w:r>
      <w:r>
        <w:t xml:space="preserve"> </w:t>
      </w:r>
      <w:r>
        <w:t xml:space="preserve">positions of the same model, never by the pooled total,positions, so each class rate is a direct count. The difference is not negligible.</w:t>
      </w:r>
      <w:r>
        <w:t xml:space="preserve"> </w:t>
      </w:r>
      <w:r>
        <w:t xml:space="preserve">The check class holds 0.277 of failures at the smallest rung on the full set</w:t>
      </w:r>
      <w:r>
        <w:t xml:space="preserve"> </w:t>
      </w:r>
      <w:r>
        <w:t xml:space="preserve">against 0.308 in the sample, which is the corpus-order effect the estimate was</w:t>
      </w:r>
      <w:r>
        <w:t xml:space="preserve"> </w:t>
      </w:r>
      <w:r>
        <w:t xml:space="preserve">exposed to.</w:t>
      </w:r>
    </w:p>
    <w:bookmarkEnd w:id="30"/>
    <w:bookmarkStart w:id="31" w:name="X1e1e2bb2104b0cac2da552dbc3e6663be5c9c20"/>
    <w:p>
      <w:pPr>
        <w:pStyle w:val="Heading4"/>
      </w:pPr>
      <w:r>
        <w:t xml:space="preserve">No legal move was counted as a failure, over the whole set.</w:t>
      </w:r>
    </w:p>
    <w:p>
      <w:pPr>
        <w:pStyle w:val="FirstParagraph"/>
      </w:pPr>
      <w:r>
        <w:t xml:space="preserve">Of the 16,200 audited moves, 0 were legal under the corrected gate. A sample</w:t>
      </w:r>
      <w:r>
        <w:t xml:space="preserve"> </w:t>
      </w:r>
      <w:r>
        <w:t xml:space="preserve">can only support a statement about the sample, so we checked the whole set directly:</w:t>
      </w:r>
      <w:r>
        <w:t xml:space="preserve"> </w:t>
      </w:r>
      <w:r>
        <w:t xml:space="preserve">scoring each run’s 34,611 positions under both gates, 622,998 evaluations in</w:t>
      </w:r>
      <w:r>
        <w:t xml:space="preserve"> </w:t>
      </w:r>
      <w:r>
        <w:t xml:space="preserve">all, the</w:t>
      </w:r>
      <w:r>
        <w:t xml:space="preserve"> </w:t>
      </w:r>
      <w:r>
        <w:t xml:space="preserve">membership test and the direct legality test, the two disagree at 0 positions.</w:t>
      </w:r>
      <w:r>
        <w:t xml:space="preserve"> </w:t>
      </w:r>
      <w:r>
        <w:t xml:space="preserve">No legal move entered any failure set anywhere in the evaluation data, and the</w:t>
      </w:r>
      <w:r>
        <w:t xml:space="preserve"> </w:t>
      </w:r>
      <w:r>
        <w:t xml:space="preserve">aggregate illegal-move rate is unaffected over the full set rather than in a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31"/>
    <w:bookmarkStart w:id="32"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2"/>
    <w:bookmarkStart w:id="33" w:name="Xeb9c9099fe37e3a0590e1b61ca3af996776ebca"/>
    <w:p>
      <w:pPr>
        <w:pStyle w:val="Heading4"/>
      </w:pPr>
      <w:r>
        <w:t xml:space="preserve">Why the headline differential moved, one change at a time.</w:t>
      </w:r>
    </w:p>
    <w:p>
      <w:pPr>
        <w:pStyle w:val="FirstParagraph"/>
      </w:pPr>
      <w:r>
        <w:t xml:space="preserve">The differential is +0.492 [+0.278, +0.670] here</w:t>
      </w:r>
      <w:r>
        <w:t xml:space="preserve"> </w:t>
      </w:r>
      <w:r>
        <w:t xml:space="preserve">against +0.461 as published. An earlier version of this paragraph attributed that</w:t>
      </w:r>
      <w:r>
        <w:t xml:space="preserve"> </w:t>
      </w:r>
      <w:r>
        <w:t xml:space="preserve">movement to floating-point precision, because the original pass ran in float16 on a</w:t>
      </w:r>
      <w:r>
        <w:t xml:space="preserve"> </w:t>
      </w:r>
      <w:r>
        <w:t xml:space="preserve">GPU that is no longer attached and this one runs in float32 on CPU. That attribution</w:t>
      </w:r>
      <w:r>
        <w:t xml:space="preserve"> </w:t>
      </w:r>
      <w:r>
        <w:t xml:space="preserve">was not established, and we withdraw it: three things changed between the two</w:t>
      </w:r>
      <w:r>
        <w:t xml:space="preserve"> </w:t>
      </w:r>
      <w:r>
        <w:t xml:space="preserve">numbers, not one. The classifier changed, and so did the estimator, from sampled</w:t>
      </w:r>
      <w:r>
        <w:t xml:space="preserve"> </w:t>
      </w:r>
      <w:r>
        <w:t xml:space="preserve">shares rescaled by the aggregate rate to direct counts over every scored position.</w:t>
      </w:r>
    </w:p>
    <w:p>
      <w:pPr>
        <w:pStyle w:val="BodyText"/>
      </w:pPr>
      <w:r>
        <w:t xml:space="preserve">Varying them one at a time settles it. Holding the classifier, the sampling rule and</w:t>
      </w:r>
      <w:r>
        <w:t xml:space="preserve"> </w:t>
      </w:r>
      <w:r>
        <w:t xml:space="preserve">the estimator fixed and changing only the arithmetic moves the differential to</w:t>
      </w:r>
      <w:r>
        <w:t xml:space="preserve"> </w:t>
      </w:r>
      <w:r>
        <w:t xml:space="preserve">+0.456, a shift of -0.0052. Then holding the classifier and the arithmetic</w:t>
      </w:r>
      <w:r>
        <w:t xml:space="preserve"> </w:t>
      </w:r>
      <w:r>
        <w:t xml:space="preserve">fixed and replacing the sampled estimator with full-set counts moves it to</w:t>
      </w:r>
      <w:r>
        <w:t xml:space="preserve"> </w:t>
      </w:r>
      <w:r>
        <w:t xml:space="preserve">+0.492, a shift of +0.0364. Then changing the classifier moves it by</w:t>
      </w:r>
      <w:r>
        <w:t xml:space="preserve"> </w:t>
      </w:r>
      <w:r>
        <w:t xml:space="preserve">+0.0000. The three sum to the total +0.0312 by construction.</w:t>
      </w:r>
    </w:p>
    <w:p>
      <w:pPr>
        <w:pStyle w:val="BodyText"/>
      </w:pPr>
      <w:r>
        <w:t xml:space="preserve">So the dominant term is the estimator, not the hardware: the sampled estimator was</w:t>
      </w:r>
      <w:r>
        <w:t xml:space="preserve"> </w:t>
      </w:r>
      <w:r>
        <w:t xml:space="preserve">biased by corpus order, and correcting it accounts for most of the movement, while</w:t>
      </w:r>
      <w:r>
        <w:t xml:space="preserve"> </w:t>
      </w:r>
      <w:r>
        <w:t xml:space="preserve">precision accounts for a shift smaller by a factor of several. The classifier term is</w:t>
      </w:r>
      <w:r>
        <w:t xml:space="preserve"> </w:t>
      </w:r>
      <w:r>
        <w:t xml:space="preserve">exactly zero, which is an independent confirmation of the flow table above: no move</w:t>
      </w:r>
      <w:r>
        <w:t xml:space="preserve"> </w:t>
      </w:r>
      <w:r>
        <w:t xml:space="preserve">entered or left either class the differential is computed from, so relabelling could</w:t>
      </w:r>
      <w:r>
        <w:t xml:space="preserve"> </w:t>
      </w:r>
      <w:r>
        <w:t xml:space="preserve">not have changed it.</w:t>
      </w:r>
    </w:p>
    <w:p>
      <w:pPr>
        <w:pStyle w:val="BodyText"/>
      </w:pPr>
      <w:r>
        <w:t xml:space="preserve">One limit on the precision term is worth stating. Changing the arithmetic can change</w:t>
      </w:r>
      <w:r>
        <w:t xml:space="preserve"> </w:t>
      </w:r>
      <w:r>
        <w:t xml:space="preserve">which move is top-1 at a near-tie, so the realised set of sampled failures is not</w:t>
      </w:r>
      <w:r>
        <w:t xml:space="preserve"> </w:t>
      </w:r>
      <w:r>
        <w:t xml:space="preserve">identical between the first two configurations even though the sampling rule is.</w:t>
      </w:r>
      <w:r>
        <w:t xml:space="preserve"> </w:t>
      </w:r>
      <w:r>
        <w:t xml:space="preserve">There is no way to hold the sampled set fixed while changing the arithmetic that</w:t>
      </w:r>
      <w:r>
        <w:t xml:space="preserve"> </w:t>
      </w:r>
      <w:r>
        <w:t xml:space="preserve">selects it; what is held fixed is the classifier, the sampling rule and the estimator.</w:t>
      </w:r>
      <w:r>
        <w:t xml:space="preserve"> </w:t>
      </w:r>
      <w:r>
        <w:t xml:space="preserve">For the record, class shares between those two configurations move by 0.0011</w:t>
      </w:r>
      <w:r>
        <w:t xml:space="preserve"> </w:t>
      </w:r>
      <w:r>
        <w:t xml:space="preserve">on average and at most 0.0121.</w:t>
      </w:r>
    </w:p>
    <w:bookmarkEnd w:id="33"/>
    <w:bookmarkStart w:id="34"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-0.222 [-0.266, -0.181], while blocked</w:t>
      </w:r>
      <w:r>
        <w:t xml:space="preserve"> </w:t>
      </w:r>
      <w:r>
        <w:t xml:space="preserve">paths have -0.069 [-0.118, -0.015], both intervals</w:t>
      </w:r>
      <w:r>
        <w:t xml:space="preserve"> </w:t>
      </w:r>
      <w:r>
        <w:t xml:space="preserve">excluding zero and the two more than a factor of three apart. The aggregate geometry</w:t>
      </w:r>
      <w:r>
        <w:t xml:space="preserve"> </w:t>
      </w:r>
      <w:r>
        <w:t xml:space="preserve">exponent was averaging them, which is the same objection this paper raises against</w:t>
      </w:r>
      <w:r>
        <w:t xml:space="preserve"> </w:t>
      </w:r>
      <w:r>
        <w:t xml:space="preserve">fitting one exponent to a total whose parts scale differently, turned on one of our</w:t>
      </w:r>
      <w:r>
        <w:t xml:space="preserve"> </w:t>
      </w:r>
      <w:r>
        <w:t xml:space="preserve">own categories. Against the locally decided classes the check differential narrows</w:t>
      </w:r>
      <w:r>
        <w:t xml:space="preserve"> </w:t>
      </w:r>
      <w:r>
        <w:t xml:space="preserve">but survives: check against impossible movement is +0.126 [</w:t>
      </w:r>
      <w:r>
        <w:t xml:space="preserve"> </w:t>
      </w:r>
      <w:r>
        <w:t xml:space="preserve">+0.103, +0.156].</w:t>
      </w:r>
    </w:p>
    <w:p>
      <w:pPr>
        <w:pStyle w:val="BodyText"/>
      </w:pPr>
      <w:r>
        <w:t xml:space="preserve">What the blocked-path exponent does not settle is its ordering against check</w:t>
      </w:r>
      <w:r>
        <w:t xml:space="preserve"> </w:t>
      </w:r>
      <w:r>
        <w:t xml:space="preserve">violations. At -0.069 against -0.097 the two are separated by less than the</w:t>
      </w:r>
      <w:r>
        <w:t xml:space="preserve"> </w:t>
      </w:r>
      <w:r>
        <w:t xml:space="preserve">width of either interval, so which of them is the shallower class in the partition is</w:t>
      </w:r>
      <w:r>
        <w:t xml:space="preserve"> </w:t>
      </w:r>
      <w:r>
        <w:t xml:space="preserve">undetermined on 6 rungs. That is a different statement from the exponent being</w:t>
      </w:r>
      <w:r>
        <w:t xml:space="preserve"> </w:t>
      </w:r>
      <w:r>
        <w:t xml:space="preserve">indistinguishable from zero, which it is not, and we draw no ordering conclusion</w:t>
      </w:r>
      <w:r>
        <w:t xml:space="preserve"> </w:t>
      </w:r>
      <w:r>
        <w:t xml:space="preserve">between those two classes while drawing one between either of them and the locally</w:t>
      </w:r>
      <w:r>
        <w:t xml:space="preserve"> </w:t>
      </w:r>
      <w:r>
        <w:t xml:space="preserve">decided classes.</w:t>
      </w:r>
    </w:p>
    <w:bookmarkEnd w:id="34"/>
    <w:bookmarkEnd w:id="35"/>
    <w:bookmarkStart w:id="44" w:name="sec:scaling"/>
    <w:p>
      <w:pPr>
        <w:pStyle w:val="Heading1"/>
      </w:pPr>
      <w:r>
        <w:t xml:space="preserve">Differential Scaling</w:t>
      </w:r>
    </w:p>
    <w:bookmarkStart w:id="36"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0.0624</w:t>
            </w:r>
          </w:p>
        </w:tc>
        <w:tc>
          <w:tcPr/>
          <w:p>
            <w:pPr>
              <w:pStyle w:val="Compact"/>
              <w:jc w:val="center"/>
            </w:pPr>
            <w:r>
              <w:t xml:space="preserve">0.0146</w:t>
            </w:r>
          </w:p>
        </w:tc>
        <w:tc>
          <w:tcPr/>
          <w:p>
            <w:pPr>
              <w:pStyle w:val="Compact"/>
              <w:jc w:val="center"/>
            </w:pPr>
            <w:r>
              <w:t xml:space="preserve">4.3</w:t>
            </w:r>
          </w:p>
        </w:tc>
        <w:tc>
          <w:tcPr/>
          <w:p>
            <w:pPr>
              <w:pStyle w:val="Compact"/>
              <w:jc w:val="center"/>
            </w:pPr>
            <w:r>
              <w:t xml:space="preserve">-0.589 [-0.754, -0.385]</w:t>
            </w:r>
          </w:p>
        </w:tc>
      </w:tr>
      <w:tr>
        <w:tc>
          <w:tcPr/>
          <w:p>
            <w:pPr>
              <w:pStyle w:val="Compact"/>
              <w:jc w:val="left"/>
            </w:pPr>
            <w:r>
              <w:t xml:space="preserve">opponent source</w:t>
            </w:r>
          </w:p>
        </w:tc>
        <w:tc>
          <w:tcPr/>
          <w:p>
            <w:pPr>
              <w:pStyle w:val="Compact"/>
              <w:jc w:val="center"/>
            </w:pPr>
            <w:r>
              <w:t xml:space="preserve">0.0128</w:t>
            </w:r>
          </w:p>
        </w:tc>
        <w:tc>
          <w:tcPr/>
          <w:p>
            <w:pPr>
              <w:pStyle w:val="Compact"/>
              <w:jc w:val="center"/>
            </w:pPr>
            <w:r>
              <w:t xml:space="preserve">0.0035</w:t>
            </w:r>
          </w:p>
        </w:tc>
        <w:tc>
          <w:tcPr/>
          <w:p>
            <w:pPr>
              <w:pStyle w:val="Compact"/>
              <w:jc w:val="center"/>
            </w:pPr>
            <w:r>
              <w:t xml:space="preserve">3.7</w:t>
            </w:r>
          </w:p>
        </w:tc>
        <w:tc>
          <w:tcPr/>
          <w:p>
            <w:pPr>
              <w:pStyle w:val="Compact"/>
              <w:jc w:val="center"/>
            </w:pPr>
            <w:r>
              <w:t xml:space="preserve">-0.537 [-0.613, -0.449]</w:t>
            </w:r>
          </w:p>
        </w:tc>
      </w:tr>
      <w:tr>
        <w:tc>
          <w:tcPr/>
          <w:p>
            <w:pPr>
              <w:pStyle w:val="Compact"/>
              <w:jc w:val="left"/>
            </w:pPr>
            <w:r>
              <w:t xml:space="preserve">own destination</w:t>
            </w:r>
          </w:p>
        </w:tc>
        <w:tc>
          <w:tcPr/>
          <w:p>
            <w:pPr>
              <w:pStyle w:val="Compact"/>
              <w:jc w:val="center"/>
            </w:pPr>
            <w:r>
              <w:t xml:space="preserve">0.0344</w:t>
            </w:r>
          </w:p>
        </w:tc>
        <w:tc>
          <w:tcPr/>
          <w:p>
            <w:pPr>
              <w:pStyle w:val="Compact"/>
              <w:jc w:val="center"/>
            </w:pPr>
            <w:r>
              <w:t xml:space="preserve">0.0117</w:t>
            </w:r>
          </w:p>
        </w:tc>
        <w:tc>
          <w:tcPr/>
          <w:p>
            <w:pPr>
              <w:pStyle w:val="Compact"/>
              <w:jc w:val="center"/>
            </w:pPr>
            <w:r>
              <w:t xml:space="preserve">2.9</w:t>
            </w:r>
          </w:p>
        </w:tc>
        <w:tc>
          <w:tcPr/>
          <w:p>
            <w:pPr>
              <w:pStyle w:val="Compact"/>
              <w:jc w:val="center"/>
            </w:pPr>
            <w:r>
              <w:t xml:space="preserve">-0.452 [-0.508, -0.425]</w:t>
            </w:r>
          </w:p>
        </w:tc>
      </w:tr>
      <w:tr>
        <w:tc>
          <w:tcPr/>
          <w:p>
            <w:pPr>
              <w:pStyle w:val="Compact"/>
              <w:jc w:val="left"/>
            </w:pPr>
            <w:r>
              <w:t xml:space="preserve">castling</w:t>
            </w:r>
          </w:p>
        </w:tc>
        <w:tc>
          <w:tcPr/>
          <w:p>
            <w:pPr>
              <w:pStyle w:val="Compact"/>
              <w:jc w:val="center"/>
            </w:pPr>
            <w:r>
              <w:t xml:space="preserve">0.0014</w:t>
            </w:r>
          </w:p>
        </w:tc>
        <w:tc>
          <w:tcPr/>
          <w:p>
            <w:pPr>
              <w:pStyle w:val="Compact"/>
              <w:jc w:val="center"/>
            </w:pPr>
            <w:r>
              <w:t xml:space="preserve">0.0005</w:t>
            </w:r>
          </w:p>
        </w:tc>
        <w:tc>
          <w:tcPr/>
          <w:p>
            <w:pPr>
              <w:pStyle w:val="Compact"/>
              <w:jc w:val="center"/>
            </w:pPr>
            <w:r>
              <w:t xml:space="preserve">2.6</w:t>
            </w:r>
          </w:p>
        </w:tc>
        <w:tc>
          <w:tcPr/>
          <w:p>
            <w:pPr>
              <w:pStyle w:val="Compact"/>
              <w:jc w:val="center"/>
            </w:pPr>
            <w:r>
              <w:t xml:space="preserve">-0.415 [-0.597, -0.150]</w:t>
            </w:r>
          </w:p>
        </w:tc>
      </w:tr>
      <w:tr>
        <w:tc>
          <w:tcPr/>
          <w:p>
            <w:pPr>
              <w:pStyle w:val="Compact"/>
              <w:jc w:val="left"/>
            </w:pPr>
            <w:r>
              <w:t xml:space="preserve">geometry, impossible</w:t>
            </w:r>
          </w:p>
        </w:tc>
        <w:tc>
          <w:tcPr/>
          <w:p>
            <w:pPr>
              <w:pStyle w:val="Compact"/>
              <w:jc w:val="center"/>
            </w:pPr>
            <w:r>
              <w:t xml:space="preserve">0.0569</w:t>
            </w:r>
          </w:p>
        </w:tc>
        <w:tc>
          <w:tcPr/>
          <w:p>
            <w:pPr>
              <w:pStyle w:val="Compact"/>
              <w:jc w:val="center"/>
            </w:pPr>
            <w:r>
              <w:t xml:space="preserve">0.0335</w:t>
            </w:r>
          </w:p>
        </w:tc>
        <w:tc>
          <w:tcPr/>
          <w:p>
            <w:pPr>
              <w:pStyle w:val="Compact"/>
              <w:jc w:val="center"/>
            </w:pPr>
            <w:r>
              <w:t xml:space="preserve">1.7</w:t>
            </w:r>
          </w:p>
        </w:tc>
        <w:tc>
          <w:tcPr/>
          <w:p>
            <w:pPr>
              <w:pStyle w:val="Compact"/>
              <w:jc w:val="center"/>
            </w:pPr>
            <w:r>
              <w:t xml:space="preserve">-0.222 [-0.266, -0.181]</w:t>
            </w:r>
          </w:p>
        </w:tc>
      </w:tr>
      <w:tr>
        <w:tc>
          <w:tcPr/>
          <w:p>
            <w:pPr>
              <w:pStyle w:val="Compact"/>
              <w:jc w:val="left"/>
            </w:pPr>
            <w:r>
              <w:t xml:space="preserve">geometry, blocked path</w:t>
            </w:r>
          </w:p>
        </w:tc>
        <w:tc>
          <w:tcPr/>
          <w:p>
            <w:pPr>
              <w:pStyle w:val="Compact"/>
              <w:jc w:val="center"/>
            </w:pPr>
            <w:r>
              <w:t xml:space="preserve">0.0148</w:t>
            </w:r>
          </w:p>
        </w:tc>
        <w:tc>
          <w:tcPr/>
          <w:p>
            <w:pPr>
              <w:pStyle w:val="Compact"/>
              <w:jc w:val="center"/>
            </w:pPr>
            <w:r>
              <w:t xml:space="preserve">0.0126</w:t>
            </w:r>
          </w:p>
        </w:tc>
        <w:tc>
          <w:tcPr/>
          <w:p>
            <w:pPr>
              <w:pStyle w:val="Compact"/>
              <w:jc w:val="center"/>
            </w:pPr>
            <w:r>
              <w:t xml:space="preserve">1.2</w:t>
            </w:r>
          </w:p>
        </w:tc>
        <w:tc>
          <w:tcPr/>
          <w:p>
            <w:pPr>
              <w:pStyle w:val="Compact"/>
              <w:jc w:val="center"/>
            </w:pPr>
            <w:r>
              <w:t xml:space="preserve">-0.069 [-0.118, -0.015]</w:t>
            </w:r>
          </w:p>
        </w:tc>
      </w:tr>
      <w:tr>
        <w:tc>
          <w:tcPr/>
          <w:p>
            <w:pPr>
              <w:pStyle w:val="Compact"/>
              <w:jc w:val="left"/>
            </w:pPr>
            <w:r>
              <w:t xml:space="preserve">leaves check</w:t>
            </w:r>
          </w:p>
        </w:tc>
        <w:tc>
          <w:tcPr/>
          <w:p>
            <w:pPr>
              <w:pStyle w:val="Compact"/>
              <w:jc w:val="center"/>
            </w:pPr>
            <w:r>
              <w:t xml:space="preserve">0.0701</w:t>
            </w:r>
          </w:p>
        </w:tc>
        <w:tc>
          <w:tcPr/>
          <w:p>
            <w:pPr>
              <w:pStyle w:val="Compact"/>
              <w:jc w:val="center"/>
            </w:pPr>
            <w:r>
              <w:t xml:space="preserve">0.0557</w:t>
            </w:r>
          </w:p>
        </w:tc>
        <w:tc>
          <w:tcPr/>
          <w:p>
            <w:pPr>
              <w:pStyle w:val="Compact"/>
              <w:jc w:val="center"/>
            </w:pPr>
            <w:r>
              <w:t xml:space="preserve">1.3</w:t>
            </w:r>
          </w:p>
        </w:tc>
        <w:tc>
          <w:tcPr/>
          <w:p>
            <w:pPr>
              <w:pStyle w:val="Compact"/>
              <w:jc w:val="center"/>
            </w:pPr>
            <w:r>
              <w:t xml:space="preserve">-0.097 [-0.114, -0.085]</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-0.266 [-0.307, -0.216]</w:t>
            </w:r>
          </w:p>
        </w:tc>
      </w:tr>
      <w:tr>
        <w:tc>
          <w:tcPr/>
          <w:p>
            <w:pPr>
              <w:pStyle w:val="Compact"/>
              <w:jc w:val="left"/>
            </w:pPr>
            <w:r>
              <w:rPr>
                <w:i/>
                <w:iCs/>
              </w:rPr>
              <w:t xml:space="preserve">despite correct local belief</w:t>
            </w:r>
          </w:p>
        </w:tc>
        <w:tc>
          <w:tcPr/>
          <w:p>
            <w:pPr>
              <w:pStyle w:val="Compact"/>
              <w:jc w:val="center"/>
            </w:pPr>
            <w:r>
              <w:t xml:space="preserve">0.0436</w:t>
            </w:r>
          </w:p>
        </w:tc>
        <w:tc>
          <w:tcPr/>
          <w:p>
            <w:pPr>
              <w:pStyle w:val="Compact"/>
              <w:jc w:val="center"/>
            </w:pPr>
            <w:r>
              <w:t xml:space="preserve">0.0395</w:t>
            </w:r>
          </w:p>
        </w:tc>
        <w:tc>
          <w:tcPr/>
          <w:p>
            <w:pPr>
              <w:pStyle w:val="Compact"/>
              <w:jc w:val="center"/>
            </w:pPr>
            <w:r>
              <w:t xml:space="preserve">1.1</w:t>
            </w:r>
          </w:p>
        </w:tc>
        <w:tc>
          <w:tcPr/>
          <w:p>
            <w:pPr>
              <w:pStyle w:val="Compact"/>
              <w:jc w:val="center"/>
            </w:pPr>
            <w:r>
              <w:t xml:space="preserve">-0.036 [-0.094, +0.031]</w:t>
            </w:r>
          </w:p>
        </w:tc>
      </w:tr>
    </w:tbl>
    <w:bookmarkEnd w:id="36"/>
    <w:bookmarkStart w:id="40" w:name="fig:scaling"/>
    <w:p>
      <w:pPr>
        <w:pStyle w:val="CaptionedFigure"/>
      </w:pPr>
      <w:r>
        <w:drawing>
          <wp:inline>
            <wp:extent cx="5334000" cy="1981200"/>
            <wp:effectExtent b="0" l="0" r="0" t="0"/>
            <wp:docPr descr="" title="" id="38" name="Picture"/>
            <a:graphic>
              <a:graphicData uri="http://schemas.openxmlformats.org/drawingml/2006/picture">
                <pic:pic>
                  <pic:nvPicPr>
                    <pic:cNvPr descr="scaling.png" id="39" name="Picture"/>
                    <pic:cNvPicPr>
                      <a:picLocks noChangeArrowheads="1" noChangeAspect="1"/>
                    </pic:cNvPicPr>
                  </pic:nvPicPr>
                  <pic:blipFill>
                    <a:blip r:embed="rId37"/>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40"/>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faster than impossible movement,</w:t>
      </w:r>
      <w:r>
        <w:t xml:space="preserve"> </w:t>
      </w:r>
      <w:r>
        <w:t xml:space="preserve">at -0.415 against -0.222, despite needing more than the move’s two squares;</w:t>
      </w:r>
      <w:r>
        <w:t xml:space="preserve"> </w:t>
      </w:r>
      <w:r>
        <w:t xml:space="preserve">and blocked paths, which need only one further square, have the shallowest point</w:t>
      </w:r>
      <w:r>
        <w:t xml:space="preserve"> </w:t>
      </w:r>
      <w:r>
        <w:t xml:space="preserve">estimate of any class, -0.069, shallower even than check violations. Both</w:t>
      </w:r>
      <w:r>
        <w:t xml:space="preserve"> </w:t>
      </w:r>
      <w:r>
        <w:t xml:space="preserve">intervals exclude zero, so these are differences in rate rather than one class failing</w:t>
      </w:r>
      <w:r>
        <w:t xml:space="preserve"> </w:t>
      </w:r>
      <w:r>
        <w:t xml:space="preserve">to improve. What the data support is the specific</w:t>
      </w:r>
      <w:r>
        <w:t xml:space="preserve"> </w:t>
      </w:r>
      <w:r>
        <w:t xml:space="preserve">comparison. Errors decidable from the move’s own two squares, pooled, fall with</w:t>
      </w:r>
      <w:r>
        <w:t xml:space="preserve"> </w:t>
      </w:r>
      <w:r>
        <w:t xml:space="preserve">exponent -0.397 [-0.460, -0.318], against</w:t>
      </w:r>
      <w:r>
        <w:t xml:space="preserve"> </w:t>
      </w:r>
      <w:r>
        <w:t xml:space="preserve">-0.097 for check violations, a paired differential of +0.301</w:t>
      </w:r>
      <w:r>
        <w:t xml:space="preserve"> </w:t>
      </w:r>
      <w:r>
        <w:t xml:space="preserve">[+0.213, +0.375]. Taken singly, empty-source errors fall with exponent</w:t>
      </w:r>
      <w:r>
        <w:t xml:space="preserve"> </w:t>
      </w:r>
      <w:r>
        <w:t xml:space="preserve">-0.589; geometry splits into movements no arrangement of the other squares</w:t>
      </w:r>
      <w:r>
        <w:t xml:space="preserve"> </w:t>
      </w:r>
      <w:r>
        <w:t xml:space="preserve">would permit, with -0.222, and blocked paths, which do depend on the squares</w:t>
      </w:r>
      <w:r>
        <w:t xml:space="preserve"> </w:t>
      </w:r>
      <w:r>
        <w:t xml:space="preserve">between source and destination, with -0.069; and check violations, which</w:t>
      </w:r>
      <w:r>
        <w:t xml:space="preserve"> </w:t>
      </w:r>
      <w:r>
        <w:t xml:space="preserve">depend on every attacker’s position, with -0.097. The paired differential</w:t>
      </w:r>
      <w:r>
        <w:t xml:space="preserve"> </w:t>
      </w:r>
      <w:r>
        <w:t xml:space="preserve">between the check and empty-source exponents is +0.492</w:t>
      </w:r>
      <w:r>
        <w:t xml:space="preserve"> </w:t>
      </w:r>
      <w:r>
        <w:t xml:space="preserve">[+0.278, +0.670], and it excludes zero.</w:t>
      </w:r>
    </w:p>
    <w:p>
      <w:pPr>
        <w:pStyle w:val="BodyText"/>
      </w:pPr>
      <w:r>
        <w:t xml:space="preserve">This is a claim about composition, and composition shifts accordingly. The</w:t>
      </w:r>
      <w:r>
        <w:t xml:space="preserve"> </w:t>
      </w:r>
      <w:r>
        <w:t xml:space="preserve">empty-source share of illegal moves falls from 0.247 to</w:t>
      </w:r>
      <w:r>
        <w:t xml:space="preserve"> </w:t>
      </w:r>
      <w:r>
        <w:t xml:space="preserve">0.110 while the check share rises from 0.277 to</w:t>
      </w:r>
      <w:r>
        <w:t xml:space="preserve"> </w:t>
      </w:r>
      <w:r>
        <w:t xml:space="preserve">0.421; geometry taken together moves only from 0.283 to</w:t>
      </w:r>
      <w:r>
        <w:t xml:space="preserve"> </w:t>
      </w:r>
      <w:r>
        <w:t xml:space="preserve">0.349, its impossible part barely at all, from 0.225</w:t>
      </w:r>
      <w:r>
        <w:t xml:space="preserve"> </w:t>
      </w:r>
      <w:r>
        <w:t xml:space="preserve">to 0.254.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0.287 to 0.492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41"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1.35 at one billion parameters</w:t>
      </w:r>
      <w:r>
        <w:t xml:space="preserve"> </w:t>
      </w:r>
      <w:r>
        <w:t xml:space="preserve">[1.11, 1.75, above one in</w:t>
      </w:r>
      <w:r>
        <w:t xml:space="preserve"> </w:t>
      </w:r>
      <w:r>
        <w:t xml:space="preserve">100% of resamples] and 3.63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41"/>
    <w:bookmarkStart w:id="42"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0.00754 across the 18 runs against</w:t>
      </w:r>
      <w:r>
        <w:t xml:space="preserve"> </w:t>
      </w:r>
      <w:r>
        <w:t xml:space="preserve">0.00854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0.430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0.069</w:t>
      </w:r>
      <w:r>
        <w:t xml:space="preserve"> </w:t>
      </w:r>
      <w:r>
        <w:t xml:space="preserve">against the check class’s -0.097. The two are close enough that the crossing</w:t>
      </w:r>
      <w:r>
        <w:t xml:space="preserve"> </w:t>
      </w:r>
      <w:r>
        <w:t xml:space="preserve">falls outside the range we project at all: the check share rises monotonically to</w:t>
      </w:r>
      <w:r>
        <w:t xml:space="preserve"> </w:t>
      </w:r>
      <w:r>
        <w:t xml:space="preserve">0.709 across it, and blocked paths overtake it only further out. The paper’s</w:t>
      </w:r>
      <w:r>
        <w:t xml:space="preserve"> </w:t>
      </w:r>
      <w:r>
        <w:t xml:space="preserve">qualitative claim about the observed range is unchanged, and the trajectory is now</w:t>
      </w:r>
      <w:r>
        <w:t xml:space="preserve"> </w:t>
      </w:r>
      <w:r>
        <w:t xml:space="preserve">bounded by construction 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On the full set that exponent is -0.069 [-0.118,</w:t>
      </w:r>
      <w:r>
        <w:t xml:space="preserve"> </w:t>
      </w:r>
      <w:r>
        <w:t xml:space="preserve">-0.015], separated from the check class’s -0.097 by less than the width</w:t>
      </w:r>
      <w:r>
        <w:t xml:space="preserve"> </w:t>
      </w:r>
      <w:r>
        <w:t xml:space="preserve">of either interval. Which of the two is shallower decides the entire asymptotic</w:t>
      </w:r>
      <w:r>
        <w:t xml:space="preserve"> </w:t>
      </w:r>
      <w:r>
        <w:t xml:space="preserve">story, and the data do not resolve it.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failure share despite correct local decoding,</w:t>
      </w:r>
      <w:r>
        <w:t xml:space="preserve"> </w:t>
      </w:r>
      <w:r>
        <w:t xml:space="preserve">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0.294 at our largest rung, having been</w:t>
      </w:r>
      <w:r>
        <w:t xml:space="preserve"> </w:t>
      </w:r>
      <w:r>
        <w:t xml:space="preserve">observed between 0.162 and 0.305,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2"/>
    <w:bookmarkStart w:id="43"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0.069,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0.266, giving</w:t>
      </w:r>
      <w:r>
        <w:t xml:space="preserve"> </w:t>
      </w:r>
      <w:r>
        <w:t xml:space="preserve">divergence +0.197.</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124M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3"/>
    <w:bookmarkEnd w:id="44"/>
    <w:bookmarkStart w:id="51" w:name="sec:external"/>
    <w:p>
      <w:pPr>
        <w:pStyle w:val="Heading1"/>
      </w:pPr>
      <w:r>
        <w:t xml:space="preserve">External Validity</w:t>
      </w:r>
    </w:p>
    <w:bookmarkStart w:id="45"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5"/>
    <w:bookmarkStart w:id="47"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+0.492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6"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6"/>
    <w:bookmarkEnd w:id="47"/>
    <w:bookmarkStart w:id="48"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8"/>
    <w:bookmarkStart w:id="50"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9"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9"/>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50"/>
    <w:bookmarkEnd w:id="51"/>
    <w:bookmarkStart w:id="57"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2"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2"/>
    <w:bookmarkStart w:id="54"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3"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3"/>
    <w:bookmarkEnd w:id="54"/>
    <w:bookmarkStart w:id="55"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0.473 of failures on average against</w:t>
      </w:r>
      <w:r>
        <w:t xml:space="preserve"> </w:t>
      </w:r>
      <w:r>
        <w:t xml:space="preserve">0.280 for geometry taken together,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-0.036 [-0.094, +0.031], a differential</w:t>
      </w:r>
      <w:r>
        <w:t xml:space="preserve"> </w:t>
      </w:r>
      <w:r>
        <w:t xml:space="preserve">against empty-source errors of +0.553 [+0.416,</w:t>
      </w:r>
      <w:r>
        <w:t xml:space="preserve"> </w:t>
      </w:r>
      <w:r>
        <w:t xml:space="preserve">+0.659], on the same paired bootstrap as the others.</w:t>
      </w:r>
    </w:p>
    <w:bookmarkEnd w:id="55"/>
    <w:bookmarkStart w:id="56"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0.184 [</w:t>
      </w:r>
      <m:oMath>
        <m:r>
          <m:rPr>
            <m:sty m:val="p"/>
          </m:rPr>
          <m:t>−</m:t>
        </m:r>
      </m:oMath>
      <w:r>
        <w:t xml:space="preserve">0.276,</w:t>
      </w:r>
      <w:r>
        <w:t xml:space="preserve"> </w:t>
      </w:r>
      <m:oMath>
        <m:r>
          <m:rPr>
            <m:sty m:val="p"/>
          </m:rPr>
          <m:t>−</m:t>
        </m:r>
      </m:oMath>
      <w:r>
        <w:t xml:space="preserve">0.091],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2e-16: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6"/>
    <w:bookmarkEnd w:id="57"/>
    <w:bookmarkStart w:id="60"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8"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8"/>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9"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9"/>
    <w:bookmarkEnd w:id="60"/>
    <w:bookmarkStart w:id="61" w:name="discussion"/>
    <w:p>
      <w:pPr>
        <w:pStyle w:val="Heading1"/>
      </w:pPr>
      <w:r>
        <w:t xml:space="preserve">Discussion</w:t>
      </w:r>
    </w:p>
    <w:p>
      <w:pPr>
        <w:pStyle w:val="FirstParagraph"/>
      </w:pPr>
      <w:r>
        <w:t xml:space="preserve">The practical content is about where effort goes. The class that falls most slowly</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It does fall: its exponent is -0.097 with an interval</w:t>
      </w:r>
      <w:r>
        <w:t xml:space="preserve"> </w:t>
      </w:r>
      <w:r>
        <w:t xml:space="preserve">excluding zero. The quantity that is close to flat is a different one, the joint rate</w:t>
      </w:r>
      <w:r>
        <w:t xml:space="preserve"> </w:t>
      </w:r>
      <w:r>
        <w:t xml:space="preserve">of failures occurring despite correct local decoding, and that flatness is itself two</w:t>
      </w:r>
      <w:r>
        <w:t xml:space="preserve"> </w:t>
      </w:r>
      <w:r>
        <w:t xml:space="preserve">effects cancelling.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0.491 against</w:t>
      </w:r>
      <w:r>
        <w:t xml:space="preserve"> </w:t>
      </w:r>
      <w:r>
        <w:t xml:space="preserve">0.091 for size coordinates and 0.112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61"/>
    <w:bookmarkStart w:id="66" w:name="sec:implications"/>
    <w:p>
      <w:pPr>
        <w:pStyle w:val="Heading1"/>
      </w:pPr>
      <w:r>
        <w:t xml:space="preserve">Implications for Individuals, Organisations, and Society</w:t>
      </w:r>
    </w:p>
    <w:bookmarkStart w:id="62"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2"/>
    <w:bookmarkStart w:id="63"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-0.036,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0.184.</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3"/>
    <w:bookmarkStart w:id="64"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4"/>
    <w:bookmarkStart w:id="65"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5"/>
    <w:bookmarkEnd w:id="66"/>
    <w:bookmarkStart w:id="69"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7"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7"/>
    <w:bookmarkStart w:id="68"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8"/>
    <w:bookmarkEnd w:id="69"/>
    <w:bookmarkStart w:id="70"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-0.036,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0.184.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70"/>
    <w:bookmarkStart w:id="76" w:name="declarations"/>
    <w:p>
      <w:pPr>
        <w:pStyle w:val="Heading1"/>
      </w:pPr>
      <w:r>
        <w:t xml:space="preserve">Declarations</w:t>
      </w:r>
    </w:p>
    <w:bookmarkStart w:id="71" w:name="disclosure-statement."/>
    <w:p>
      <w:pPr>
        <w:pStyle w:val="Heading4"/>
      </w:pPr>
      <w:r>
        <w:t xml:space="preserve">Disclosure statement.</w:t>
      </w:r>
    </w:p>
    <w:p>
      <w:pPr>
        <w:pStyle w:val="FirstParagraph"/>
      </w:pPr>
      <w:r>
        <w:t xml:space="preserve">The authors report no conflict of interest.</w:t>
      </w:r>
    </w:p>
    <w:bookmarkEnd w:id="71"/>
    <w:bookmarkStart w:id="72"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72"/>
    <w:bookmarkStart w:id="74"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3">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4"/>
    <w:bookmarkStart w:id="75"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5"/>
    <w:bookmarkEnd w:id="76"/>
    <w:bookmarkStart w:id="77"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7"/>
    <w:bookmarkStart w:id="78"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8"/>
    <w:bookmarkStart w:id="99"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0.430</w:t>
            </w:r>
          </w:p>
        </w:tc>
        <w:tc>
          <w:tcPr/>
          <w:p>
            <w:pPr>
              <w:pStyle w:val="Compact"/>
              <w:jc w:val="center"/>
            </w:pPr>
            <w:r>
              <w:t xml:space="preserve">0.562</w:t>
            </w:r>
          </w:p>
        </w:tc>
        <w:tc>
          <w:tcPr/>
          <w:p>
            <w:pPr>
              <w:pStyle w:val="Compact"/>
              <w:jc w:val="center"/>
            </w:pPr>
            <w:r>
              <w:t xml:space="preserve">0.680</w:t>
            </w:r>
          </w:p>
        </w:tc>
      </w:tr>
      <w:tr>
        <w:tc>
          <w:tcPr/>
          <w:p>
            <w:pPr>
              <w:pStyle w:val="Compact"/>
              <w:jc w:val="left"/>
            </w:pPr>
            <w:r>
              <w:t xml:space="preserve">geometry, impossible</w:t>
            </w:r>
          </w:p>
        </w:tc>
        <w:tc>
          <w:tcPr/>
          <w:p>
            <w:pPr>
              <w:pStyle w:val="Compact"/>
              <w:jc w:val="center"/>
            </w:pPr>
            <w:r>
              <w:t xml:space="preserve">0.258</w:t>
            </w:r>
          </w:p>
        </w:tc>
        <w:tc>
          <w:tcPr/>
          <w:p>
            <w:pPr>
              <w:pStyle w:val="Compact"/>
              <w:jc w:val="center"/>
            </w:pPr>
            <w:r>
              <w:t xml:space="preserve">0.227</w:t>
            </w:r>
          </w:p>
        </w:tc>
        <w:tc>
          <w:tcPr/>
          <w:p>
            <w:pPr>
              <w:pStyle w:val="Compact"/>
              <w:jc w:val="center"/>
            </w:pPr>
            <w:r>
              <w:t xml:space="preserve">0.117</w:t>
            </w:r>
          </w:p>
        </w:tc>
      </w:tr>
      <w:tr>
        <w:tc>
          <w:tcPr/>
          <w:p>
            <w:pPr>
              <w:pStyle w:val="Compact"/>
              <w:jc w:val="left"/>
            </w:pPr>
            <w:r>
              <w:t xml:space="preserve">geometry, blocked path</w:t>
            </w:r>
          </w:p>
        </w:tc>
        <w:tc>
          <w:tcPr/>
          <w:p>
            <w:pPr>
              <w:pStyle w:val="Compact"/>
              <w:jc w:val="center"/>
            </w:pPr>
            <w:r>
              <w:t xml:space="preserve">0.100</w:t>
            </w:r>
          </w:p>
        </w:tc>
        <w:tc>
          <w:tcPr/>
          <w:p>
            <w:pPr>
              <w:pStyle w:val="Compact"/>
              <w:jc w:val="center"/>
            </w:pPr>
            <w:r>
              <w:t xml:space="preserve">0.141</w:t>
            </w:r>
          </w:p>
        </w:tc>
        <w:tc>
          <w:tcPr/>
          <w:p>
            <w:pPr>
              <w:pStyle w:val="Compact"/>
              <w:jc w:val="center"/>
            </w:pPr>
            <w:r>
              <w:t xml:space="preserve">0.197</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share despite correct local decoding</w:t>
            </w:r>
          </w:p>
        </w:tc>
        <w:tc>
          <w:tcPr/>
          <w:p>
            <w:pPr>
              <w:pStyle w:val="Compact"/>
              <w:jc w:val="center"/>
            </w:pPr>
            <w:r>
              <w:t xml:space="preserve">0.294</w:t>
            </w:r>
          </w:p>
        </w:tc>
        <w:tc>
          <w:tcPr/>
          <w:p>
            <w:pPr>
              <w:pStyle w:val="Compact"/>
              <w:jc w:val="center"/>
            </w:pPr>
            <w:r>
              <w:t xml:space="preserve">0.521</w:t>
            </w:r>
          </w:p>
        </w:tc>
        <w:tc>
          <w:tcPr/>
          <w:p>
            <w:pPr>
              <w:pStyle w:val="Compact"/>
              <w:jc w:val="center"/>
            </w:pPr>
            <w:r>
              <w:t xml:space="preserve">0.895</w:t>
            </w:r>
          </w:p>
        </w:tc>
      </w:tr>
    </w:tbl>
    <w:p>
      <w:pPr>
        <w:pStyle w:val="BodyText"/>
      </w:pPr>
      <w:r>
        <w:t xml:space="preserve">The check share rises monotonically across this range, to 0.709 at the far end.</w:t>
      </w:r>
      <w:r>
        <w:t xml:space="preserve"> </w:t>
      </w:r>
      <w:r>
        <w:t xml:space="preserve">It does not turn over inside it: blocked paths have the shallowest exponent in the</w:t>
      </w:r>
      <w:r>
        <w:t xml:space="preserve"> </w:t>
      </w:r>
      <w:r>
        <w:t xml:space="preserve">corrected partition and must take the whole share eventually, but at</w:t>
      </w:r>
      <w:r>
        <w:t xml:space="preserve"> </w:t>
      </w:r>
      <m:oMath>
        <m:r>
          <m:rPr>
            <m:sty m:val="p"/>
          </m:rPr>
          <m:t>−</m:t>
        </m:r>
      </m:oMath>
      <w:r>
        <w:t xml:space="preserve">0.069</w:t>
      </w:r>
      <w:r>
        <w:t xml:space="preserve"> </w:t>
      </w:r>
      <w:r>
        <w:t xml:space="preserve">against -0.097 the crossing falls beyond the scales tabulated here. Every share</w:t>
      </w:r>
      <w:r>
        <w:t xml:space="preserve"> </w:t>
      </w:r>
      <w:r>
        <w:t xml:space="preserve">stays inside the unit interval, which is the bounded behaviour the simplex</w:t>
      </w:r>
      <w:r>
        <w:t xml:space="preserve"> </w:t>
      </w:r>
      <w:r>
        <w:t xml:space="preserve">parameterisation guarantees and the property the earlier unbounded fit lacked.</w:t>
      </w:r>
    </w:p>
    <w:p>
      <w:pPr>
        <w:pStyle w:val="BodyText"/>
      </w:pPr>
      <w:r>
        <w:t xml:space="preserve">The reordering should still be read as what the fitted model implies rather than as a</w:t>
      </w:r>
      <w:r>
        <w:t xml:space="preserve"> </w:t>
      </w:r>
      <w:r>
        <w:t xml:space="preserve">finding about large models, for a reason that is not that the exponent is</w:t>
      </w:r>
      <w:r>
        <w:t xml:space="preserve"> </w:t>
      </w:r>
      <w:r>
        <w:t xml:space="preserve">indistinguishable from zero. It is not: both intervals exclude zero. The difficulty is</w:t>
      </w:r>
      <w:r>
        <w:t xml:space="preserve"> </w:t>
      </w:r>
      <w:r>
        <w:t xml:space="preserve">that the two exponents are separated by less than the width of either interval, so</w:t>
      </w:r>
      <w:r>
        <w:t xml:space="preserve"> </w:t>
      </w:r>
      <w:r>
        <w:t xml:space="preserve">which class is shallower, and therefore which one eventually dominates, is not</w:t>
      </w:r>
      <w:r>
        <w:t xml:space="preserve"> </w:t>
      </w:r>
      <w:r>
        <w:t xml:space="preserve">resolved by 6 rungs. The share despite correct local decoding is modelled on</w:t>
      </w:r>
      <w:r>
        <w:t xml:space="preserve"> </w:t>
      </w:r>
      <w:r>
        <w:t xml:space="preserve">its own logit rather</w:t>
      </w:r>
      <w:r>
        <w:t xml:space="preserve"> </w:t>
      </w:r>
      <w:r>
        <w:t xml:space="preserve">than inside the simplex, because it cuts across the partition rather than belonging</w:t>
      </w:r>
      <w:r>
        <w:t xml:space="preserve"> </w:t>
      </w:r>
      <w:r>
        <w:t xml:space="preserve">to it.</w:t>
      </w:r>
    </w:p>
    <w:bookmarkStart w:id="98" w:name="refs"/>
    <w:bookmarkStart w:id="79"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9"/>
    <w:bookmarkStart w:id="80"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80"/>
    <w:bookmarkStart w:id="81"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81"/>
    <w:bookmarkStart w:id="82"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2"/>
    <w:bookmarkStart w:id="83"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3"/>
    <w:bookmarkStart w:id="84"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4"/>
    <w:bookmarkStart w:id="85"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5"/>
    <w:bookmarkStart w:id="86"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6"/>
    <w:bookmarkStart w:id="87"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7"/>
    <w:bookmarkStart w:id="88"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8"/>
    <w:bookmarkStart w:id="90"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9">
        <w:r>
          <w:rPr>
            <w:rStyle w:val="Hyperlink"/>
          </w:rPr>
          <w:t xml:space="preserve">https://doi.org/10.18653/v1/2023.blackboxnlp-1.2</w:t>
        </w:r>
      </w:hyperlink>
      <w:r>
        <w:t xml:space="preserve">.</w:t>
      </w:r>
    </w:p>
    <w:bookmarkEnd w:id="90"/>
    <w:bookmarkStart w:id="91"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91"/>
    <w:bookmarkStart w:id="92" w:name="ref-rathore2026coherent"/>
    <w:p>
      <w:pPr>
        <w:pStyle w:val="Bibliography"/>
      </w:pPr>
      <w:r>
        <w:t xml:space="preserve">Rathore, Mohit Pratap Singh, Gunveer Singh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92"/>
    <w:bookmarkStart w:id="94"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3">
        <w:r>
          <w:rPr>
            <w:rStyle w:val="Hyperlink"/>
          </w:rPr>
          <w:t xml:space="preserve">https://doi.org/10.1609/aaai.v36i10.21390</w:t>
        </w:r>
      </w:hyperlink>
      <w:r>
        <w:t xml:space="preserve">.</w:t>
      </w:r>
    </w:p>
    <w:bookmarkEnd w:id="94"/>
    <w:bookmarkStart w:id="95"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5"/>
    <w:bookmarkStart w:id="96"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6"/>
    <w:bookmarkStart w:id="97"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mohitpratapsinghr@gmail.com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hyperlink" Id="rId93" Target="https://doi.org/10.1609/aaai.v36i10.21390" TargetMode="External" /><Relationship Type="http://schemas.openxmlformats.org/officeDocument/2006/relationships/hyperlink" Id="rId89" Target="https://doi.org/10.18653/v1/2023.blackboxnlp-1.2" TargetMode="External" /><Relationship Type="http://schemas.openxmlformats.org/officeDocument/2006/relationships/hyperlink" Id="rId73"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609/aaai.v36i10.21390" TargetMode="External" /><Relationship Type="http://schemas.openxmlformats.org/officeDocument/2006/relationships/hyperlink" Id="rId89" Target="https://doi.org/10.18653/v1/2023.blackboxnlp-1.2" TargetMode="External" /><Relationship Type="http://schemas.openxmlformats.org/officeDocument/2006/relationships/hyperlink" Id="rId73"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Singh Kalsi Oviqo Private Limited; Sriharsha Meduri Oviqo Private Limited</dc:creator>
  <cp:keywords/>
  <dcterms:created xsi:type="dcterms:W3CDTF">2026-10-08T16:44:00Z</dcterms:created>
  <dcterms:modified xsi:type="dcterms:W3CDTF">2026-10-08T16:44:00Z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-0.397, while moves illegal only because they leave the king in check fall with exponent -0.097: a paired differential of +0.301 [+0.213, +0.375]. Every class improves, every interval excluding zero; the rates differ. Failures occurring despite correctly decoded local state have a nearly flat joint rate, because improving decoding offsets a conditional failure rate falling with exponent -0.184.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