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rPr>
          <w:rStyle w:val="FootnoteReference"/>
        </w:rPr>
        <w:footnoteReference w:id="9"/>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2"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10"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10"/>
    <w:bookmarkStart w:id="11"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1"/>
    <w:bookmarkEnd w:id="12"/>
    <w:bookmarkStart w:id="17" w:name="related-work"/>
    <w:p>
      <w:pPr>
        <w:pStyle w:val="Heading1"/>
      </w:pPr>
      <w:r>
        <w:t xml:space="preserve">Related Work</w:t>
      </w:r>
    </w:p>
    <w:bookmarkStart w:id="13"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3"/>
    <w:bookmarkStart w:id="14"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4"/>
    <w:bookmarkStart w:id="15"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5"/>
    <w:bookmarkStart w:id="16"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6"/>
    <w:bookmarkEnd w:id="17"/>
    <w:bookmarkStart w:id="27" w:name="sec:setup"/>
    <w:p>
      <w:pPr>
        <w:pStyle w:val="Heading1"/>
      </w:pPr>
      <w:r>
        <w:t xml:space="preserve">Setup</w:t>
      </w:r>
    </w:p>
    <w:bookmarkStart w:id="18"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8"/>
    <w:bookmarkStart w:id="19"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9"/>
    <w:bookmarkStart w:id="20"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20"/>
    <w:bookmarkStart w:id="21"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1"/>
    <w:bookmarkStart w:id="22"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2"/>
    <w:bookmarkStart w:id="23"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3"/>
    <w:bookmarkStart w:id="24"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4"/>
    <w:bookmarkStart w:id="25"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5"/>
    <w:bookmarkStart w:id="26"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6"/>
    <w:bookmarkEnd w:id="27"/>
    <w:bookmarkStart w:id="35"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8"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8"/>
    <w:bookmarkStart w:id="29"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9"/>
    <w:bookmarkStart w:id="30"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110,545 failures over 622,998</w:t>
      </w:r>
      <w:r>
        <w:t xml:space="preserve"> </w:t>
      </w:r>
      <w:r>
        <w:t xml:space="preserve">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30"/>
    <w:bookmarkStart w:id="31"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all 622,998 positions for each of the 18 runs under both gates,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1"/>
    <w:bookmarkStart w:id="32"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2"/>
    <w:bookmarkStart w:id="33" w:name="X518a08b84912b1b3dd8d6a72c6abc2901939258"/>
    <w:p>
      <w:pPr>
        <w:pStyle w:val="Heading4"/>
      </w:pPr>
      <w:r>
        <w:t xml:space="preserve">The cost of regenerating on different hardware.</w:t>
      </w:r>
    </w:p>
    <w:p>
      <w:pPr>
        <w:pStyle w:val="FirstParagraph"/>
      </w:pPr>
      <w:r>
        <w:t xml:space="preserve">The original pass ran in float16 on a GPU that is no longer attached; the corrected</w:t>
      </w:r>
      <w:r>
        <w:t xml:space="preserve"> </w:t>
      </w:r>
      <w:r>
        <w:t xml:space="preserve">pass ran in float32 on CPU. Comparing the</w:t>
      </w:r>
      <w:r>
        <w:t xml:space="preserve"> </w:t>
      </w:r>
      <w:r>
        <w:rPr>
          <w:i/>
          <w:iCs/>
        </w:rPr>
        <w:t xml:space="preserve">old</w:t>
      </w:r>
      <w:r>
        <w:t xml:space="preserve"> </w:t>
      </w:r>
      <w:r>
        <w:t xml:space="preserve">labels from the new pass against</w:t>
      </w:r>
      <w:r>
        <w:t xml:space="preserve"> </w:t>
      </w:r>
      <w:r>
        <w:t xml:space="preserve">the stored shares isolates that change, since the classifier is then held fixed.</w:t>
      </w:r>
      <w:r>
        <w:t xml:space="preserve"> </w:t>
      </w:r>
      <w:r>
        <w:t xml:space="preserve">Class shares move by 0.0011 on average and at most 0.0121, which is what</w:t>
      </w:r>
      <w:r>
        <w:t xml:space="preserve"> </w:t>
      </w:r>
      <w:r>
        <w:t xml:space="preserve">changing precision does to the handful of positions where the top two moves are</w:t>
      </w:r>
      <w:r>
        <w:t xml:space="preserve"> </w:t>
      </w:r>
      <w:r>
        <w:t xml:space="preserve">nearly tied. We report this rather than assume a rerun reproduces the original. The</w:t>
      </w:r>
      <w:r>
        <w:t xml:space="preserve"> </w:t>
      </w:r>
      <w:r>
        <w:t xml:space="preserve">headline differential is +0.492 [+0.278, +0.670] in</w:t>
      </w:r>
      <w:r>
        <w:t xml:space="preserve"> </w:t>
      </w:r>
      <w:r>
        <w:t xml:space="preserve">the corrected pass against +0.461, recomputed from the superseded</w:t>
      </w:r>
      <w:r>
        <w:t xml:space="preserve"> </w:t>
      </w:r>
      <w:r>
        <w:t xml:space="preserve">artifacts rather than quoted from memory, and that residual difference is this drift</w:t>
      </w:r>
      <w:r>
        <w:t xml:space="preserve"> </w:t>
      </w:r>
      <w:r>
        <w:t xml:space="preserve">rather than the classifier.</w:t>
      </w:r>
    </w:p>
    <w:bookmarkEnd w:id="33"/>
    <w:bookmarkStart w:id="34"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an interval that includes</w:t>
      </w:r>
      <w:r>
        <w:t xml:space="preserve"> </w:t>
      </w:r>
      <w:r>
        <w:t xml:space="preserve">zero. The aggregate geometry exponent was averaging the two, which is the same</w:t>
      </w:r>
      <w:r>
        <w:t xml:space="preserve"> </w:t>
      </w:r>
      <w:r>
        <w:t xml:space="preserve">objection this paper raises against fitting one exponent to a total whose parts scale</w:t>
      </w:r>
      <w:r>
        <w:t xml:space="preserve"> </w:t>
      </w:r>
      <w:r>
        <w:t xml:space="preserve">differently, turned on one of our own categories. Against the locally decided classes</w:t>
      </w:r>
      <w:r>
        <w:t xml:space="preserve"> </w:t>
      </w:r>
      <w:r>
        <w:t xml:space="preserve">the check differential narrows but survives: check against impossible movement is</w:t>
      </w:r>
      <w:r>
        <w:t xml:space="preserve"> </w:t>
      </w:r>
      <w:r>
        <w:t xml:space="preserve">+0.126 [+0.103, +0.156]. The blocked-path</w:t>
      </w:r>
      <w:r>
        <w:t xml:space="preserve"> </w:t>
      </w:r>
      <w:r>
        <w:t xml:space="preserve">exponent is poorly determined on 6 rungs and we draw no ordering conclusion</w:t>
      </w:r>
      <w:r>
        <w:t xml:space="preserve"> </w:t>
      </w:r>
      <w:r>
        <w:t xml:space="preserve">from it.</w:t>
      </w:r>
    </w:p>
    <w:bookmarkEnd w:id="34"/>
    <w:bookmarkEnd w:id="35"/>
    <w:bookmarkStart w:id="44" w:name="sec:scaling"/>
    <w:p>
      <w:pPr>
        <w:pStyle w:val="Heading1"/>
      </w:pPr>
      <w:r>
        <w:t xml:space="preserve">Differential Scaling</w:t>
      </w:r>
    </w:p>
    <w:bookmarkStart w:id="36"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6"/>
    <w:bookmarkStart w:id="40" w:name="fig:scaling"/>
    <w:p>
      <w:pPr>
        <w:pStyle w:val="CaptionedFigure"/>
      </w:pPr>
      <w:r>
        <w:drawing>
          <wp:inline>
            <wp:extent cx="5334000" cy="1981200"/>
            <wp:effectExtent b="0" l="0" r="0" t="0"/>
            <wp:docPr descr="" title="" id="38" name="Picture"/>
            <a:graphic>
              <a:graphicData uri="http://schemas.openxmlformats.org/drawingml/2006/picture">
                <pic:pic>
                  <pic:nvPicPr>
                    <pic:cNvPr descr="scaling.png" id="39" name="Picture"/>
                    <pic:cNvPicPr>
                      <a:picLocks noChangeArrowheads="1" noChangeAspect="1"/>
                    </pic:cNvPicPr>
                  </pic:nvPicPr>
                  <pic:blipFill>
                    <a:blip r:embed="rId37"/>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40"/>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fastest of all at -0.415 despite</w:t>
      </w:r>
      <w:r>
        <w:t xml:space="preserve"> </w:t>
      </w:r>
      <w:r>
        <w:t xml:space="preserve">needing more than the move’s two squares, and blocked paths have the shallowest point</w:t>
      </w:r>
      <w:r>
        <w:t xml:space="preserve"> </w:t>
      </w:r>
      <w:r>
        <w:t xml:space="preserve">estimate with an interval that includes zero.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1"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1"/>
    <w:bookmarkStart w:id="42"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2"/>
    <w:bookmarkStart w:id="43"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3"/>
    <w:bookmarkEnd w:id="44"/>
    <w:bookmarkStart w:id="51" w:name="sec:external"/>
    <w:p>
      <w:pPr>
        <w:pStyle w:val="Heading1"/>
      </w:pPr>
      <w:r>
        <w:t xml:space="preserve">External Validity</w:t>
      </w:r>
    </w:p>
    <w:bookmarkStart w:id="45"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5"/>
    <w:bookmarkStart w:id="47"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6"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6"/>
    <w:bookmarkEnd w:id="47"/>
    <w:bookmarkStart w:id="48"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8"/>
    <w:bookmarkStart w:id="50"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9"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9"/>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50"/>
    <w:bookmarkEnd w:id="51"/>
    <w:bookmarkStart w:id="57"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52"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2"/>
    <w:bookmarkStart w:id="54"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3"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3"/>
    <w:bookmarkEnd w:id="54"/>
    <w:bookmarkStart w:id="55"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5"/>
    <w:bookmarkStart w:id="56"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6"/>
    <w:bookmarkEnd w:id="57"/>
    <w:bookmarkStart w:id="60"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8"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8"/>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9"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9"/>
    <w:bookmarkEnd w:id="60"/>
    <w:bookmarkStart w:id="61"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1"/>
    <w:bookmarkStart w:id="66" w:name="sec:implications"/>
    <w:p>
      <w:pPr>
        <w:pStyle w:val="Heading1"/>
      </w:pPr>
      <w:r>
        <w:t xml:space="preserve">Implications for Individuals, Organisations, and Society</w:t>
      </w:r>
    </w:p>
    <w:bookmarkStart w:id="62"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2"/>
    <w:bookmarkStart w:id="63"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3"/>
    <w:bookmarkStart w:id="64"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4"/>
    <w:bookmarkStart w:id="65"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5"/>
    <w:bookmarkEnd w:id="66"/>
    <w:bookmarkStart w:id="69"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7"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7"/>
    <w:bookmarkStart w:id="68"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8"/>
    <w:bookmarkEnd w:id="69"/>
    <w:bookmarkStart w:id="70"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70"/>
    <w:bookmarkStart w:id="76" w:name="declarations"/>
    <w:p>
      <w:pPr>
        <w:pStyle w:val="Heading1"/>
      </w:pPr>
      <w:r>
        <w:t xml:space="preserve">Declarations</w:t>
      </w:r>
    </w:p>
    <w:bookmarkStart w:id="71" w:name="disclosure-statement."/>
    <w:p>
      <w:pPr>
        <w:pStyle w:val="Heading4"/>
      </w:pPr>
      <w:r>
        <w:t xml:space="preserve">Disclosure statement.</w:t>
      </w:r>
    </w:p>
    <w:p>
      <w:pPr>
        <w:pStyle w:val="FirstParagraph"/>
      </w:pPr>
      <w:r>
        <w:t xml:space="preserve">The authors report no conflict of interest.</w:t>
      </w:r>
    </w:p>
    <w:bookmarkEnd w:id="71"/>
    <w:bookmarkStart w:id="72"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72"/>
    <w:bookmarkStart w:id="74"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are available at</w:t>
      </w:r>
      <w:r>
        <w:t xml:space="preserve"> </w:t>
      </w:r>
      <w:hyperlink r:id="rId73">
        <w:r>
          <w:rPr>
            <w:rStyle w:val="Hyperlink"/>
          </w:rPr>
          <w:t xml:space="preserve">https://github.com/MohitPratapSinghRathore/derived-total</w:t>
        </w:r>
      </w:hyperlink>
      <w:r>
        <w:t xml:space="preserve">. Trained checkpoints</w:t>
      </w:r>
      <w:r>
        <w:t xml:space="preserve"> </w:t>
      </w:r>
      <w:r>
        <w:t xml:space="preserve">are available from the corresponding author on reasonable request, being too large</w:t>
      </w:r>
      <w:r>
        <w:t xml:space="preserve"> </w:t>
      </w:r>
      <w:r>
        <w:t xml:space="preserve">to distribute with the repository. External checkpoints are public.</w:t>
      </w:r>
    </w:p>
    <w:bookmarkEnd w:id="74"/>
    <w:bookmarkStart w:id="75"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5"/>
    <w:bookmarkEnd w:id="76"/>
    <w:bookmarkStart w:id="77"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7"/>
    <w:bookmarkStart w:id="78"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8"/>
    <w:bookmarkStart w:id="99"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over this range and turns over at a maximum of 0.709,</w:t>
      </w:r>
      <w:r>
        <w:t xml:space="preserve"> </w:t>
      </w:r>
      <w:r>
        <w:t xml:space="preserve">after which blocked paths take an increasing share, because theirs is the shallowest</w:t>
      </w:r>
      <w:r>
        <w:t xml:space="preserve"> </w:t>
      </w:r>
      <w:r>
        <w:t xml:space="preserve">exponent in the corrected partition. Every share stays inside the unit interval,</w:t>
      </w:r>
      <w:r>
        <w:t xml:space="preserve"> </w:t>
      </w:r>
      <w:r>
        <w:t xml:space="preserve">which is the bounded behaviour the simplex parameterisation guarantees and the</w:t>
      </w:r>
      <w:r>
        <w:t xml:space="preserve"> </w:t>
      </w:r>
      <w:r>
        <w:t xml:space="preserve">property the earlier unbounded fit lacked. We stress again that the reordering</w:t>
      </w:r>
      <w:r>
        <w:t xml:space="preserve"> </w:t>
      </w:r>
      <w:r>
        <w:t xml:space="preserve">between the check class and blocked paths is governed by an exponent whose interval</w:t>
      </w:r>
      <w:r>
        <w:t xml:space="preserve"> </w:t>
      </w:r>
      <w:r>
        <w:t xml:space="preserve">includes zero, so it should be read as what the fitted model implies and not as a</w:t>
      </w:r>
      <w:r>
        <w:t xml:space="preserve"> </w:t>
      </w:r>
      <w:r>
        <w:t xml:space="preserve">finding about large models.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8" w:name="refs"/>
    <w:bookmarkStart w:id="79"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9"/>
    <w:bookmarkStart w:id="80"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80"/>
    <w:bookmarkStart w:id="81"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81"/>
    <w:bookmarkStart w:id="82"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2"/>
    <w:bookmarkStart w:id="83"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3"/>
    <w:bookmarkStart w:id="84"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4"/>
    <w:bookmarkStart w:id="85"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5"/>
    <w:bookmarkStart w:id="86"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6"/>
    <w:bookmarkStart w:id="87"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7"/>
    <w:bookmarkStart w:id="88"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8"/>
    <w:bookmarkStart w:id="90"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9">
        <w:r>
          <w:rPr>
            <w:rStyle w:val="Hyperlink"/>
          </w:rPr>
          <w:t xml:space="preserve">https://doi.org/10.18653/v1/2023.blackboxnlp-1.2</w:t>
        </w:r>
      </w:hyperlink>
      <w:r>
        <w:t xml:space="preserve">.</w:t>
      </w:r>
    </w:p>
    <w:bookmarkEnd w:id="90"/>
    <w:bookmarkStart w:id="91"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91"/>
    <w:bookmarkStart w:id="92"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92"/>
    <w:bookmarkStart w:id="94"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3">
        <w:r>
          <w:rPr>
            <w:rStyle w:val="Hyperlink"/>
          </w:rPr>
          <w:t xml:space="preserve">https://doi.org/10.1609/aaai.v36i10.21390</w:t>
        </w:r>
      </w:hyperlink>
      <w:r>
        <w:t xml:space="preserve">.</w:t>
      </w:r>
    </w:p>
    <w:bookmarkEnd w:id="94"/>
    <w:bookmarkStart w:id="95"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5"/>
    <w:bookmarkStart w:id="96"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6"/>
    <w:bookmarkStart w:id="97"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Corresponding author:</w:t>
      </w:r>
      <w:r>
        <w:t xml:space="preserve"> </w:t>
      </w:r>
      <w:r>
        <w:rPr>
          <w:rStyle w:val="VerbatimChar"/>
        </w:rPr>
        <w:t xml:space="preserve">mohitpratapsinghr@gmail.com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609/aaai.v36i10.21390" TargetMode="External" /><Relationship Type="http://schemas.openxmlformats.org/officeDocument/2006/relationships/hyperlink" Id="rId89" Target="https://doi.org/10.18653/v1/2023.blackboxnlp-1.2" TargetMode="External" /><Relationship Type="http://schemas.openxmlformats.org/officeDocument/2006/relationships/hyperlink" Id="rId73" Target="https://github.com/MohitPratapSinghRathore/derived-tot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2026-10-08T14:03:19Z</dcterms:created>
  <dcterms:modified xsi:type="dcterms:W3CDTF">2026-10-08T14:03:19Z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