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auto.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When Scaling Forecasts Are Inadmissible: A Diagnostic</w:t>
      </w:r>
      <w:r>
        <w:br/>
      </w:r>
      <w:r>
        <w:rPr>
          <w:b/>
          <w:bCs/>
        </w:rPr>
        <w:t xml:space="preserve">for Error</w:t>
      </w:r>
      <w:r>
        <w:rPr>
          <w:b/>
          <w:bCs/>
        </w:rPr>
        <w:t xml:space="preserve"> </w:t>
      </w:r>
      <w:r>
        <w:rPr>
          <w:b/>
          <w:bCs/>
        </w:rPr>
        <w:t xml:space="preserve">Decompositions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uthor"/>
      </w:pPr>
      <w:r>
        <w:t xml:space="preserve">Pratap Chandra Mandal</w:t>
      </w:r>
      <w:r>
        <w:br/>
      </w:r>
      <w:r>
        <w:t xml:space="preserve">Indian Institute of Management Shillong</w:t>
      </w:r>
    </w:p>
    <w:p>
      <w:pPr>
        <w:pStyle w:val="AbstractTitle"/>
      </w:pPr>
      <w:r>
        <w:t xml:space="preserve">Abstract</w:t>
      </w:r>
    </w:p>
    <w:p>
      <w:pPr>
        <w:pStyle w:val="Abstract"/>
      </w:pPr>
      <w:r>
        <w:t xml:space="preserve">Organisations increasingly decide where to spend an artificial intelligence budget</w:t>
      </w:r>
      <w:r>
        <w:t xml:space="preserve"> </w:t>
      </w:r>
      <w:r>
        <w:t xml:space="preserve">by asking which of a system’s failures the next model generation will remove on its</w:t>
      </w:r>
      <w:r>
        <w:t xml:space="preserve"> </w:t>
      </w:r>
      <w:r>
        <w:t xml:space="preserve">own. The usual evidence is a decomposition: sort the errors into categories, fit a</w:t>
      </w:r>
      <w:r>
        <w:t xml:space="preserve"> </w:t>
      </w:r>
      <w:r>
        <w:t xml:space="preserve">scaling curve to each, and read off which categories shrink fastest. We show this</w:t>
      </w:r>
      <w:r>
        <w:t xml:space="preserve"> </w:t>
      </w:r>
      <w:r>
        <w:t xml:space="preserve">procedure is not merely noisy but inadmissible, and that the defect is structural</w:t>
      </w:r>
      <w:r>
        <w:t xml:space="preserve"> </w:t>
      </w:r>
      <w:r>
        <w:t xml:space="preserve">rather than incidental. Because the categories partition the errors, their rates</w:t>
      </w:r>
      <w:r>
        <w:t xml:space="preserve"> </w:t>
      </w:r>
      <w:r>
        <w:t xml:space="preserve">must sum to the total rate at every scale, and independently fitted curves cannot</w:t>
      </w:r>
      <w:r>
        <w:t xml:space="preserve"> </w:t>
      </w:r>
      <w:r>
        <w:t xml:space="preserve">satisfy that identity once their exponents differ, which is the only reason to fit</w:t>
      </w:r>
      <w:r>
        <w:t xml:space="preserve"> </w:t>
      </w:r>
      <w:r>
        <w:t xml:space="preserve">them separately. The largest category exponent necessarily exceeds the total’s, so</w:t>
      </w:r>
      <w:r>
        <w:t xml:space="preserve"> </w:t>
      </w:r>
      <w:r>
        <w:t xml:space="preserve">the parts outgrow the whole and the forecast describes an impossibility beyond a</w:t>
      </w:r>
      <w:r>
        <w:t xml:space="preserve"> </w:t>
      </w:r>
      <w:r>
        <w:t xml:space="preserve">computable scale. On our own measurements the parts reach 1.27 times</w:t>
      </w:r>
      <w:r>
        <w:t xml:space="preserve"> </w:t>
      </w:r>
      <w:r>
        <w:t xml:space="preserve">the whole at one billion parameters and 2.82 times at one trillion.</w:t>
      </w:r>
      <w:r>
        <w:t xml:space="preserve"> </w:t>
      </w:r>
      <w:r>
        <w:t xml:space="preserve">The threshold sits at 174M parameters, below the range our earlier</w:t>
      </w:r>
      <w:r>
        <w:t xml:space="preserve"> </w:t>
      </w:r>
      <w:r>
        <w:t xml:space="preserve">analysis had forecast into. An independent model family reproduces the defect at</w:t>
      </w:r>
      <w:r>
        <w:t xml:space="preserve"> </w:t>
      </w:r>
      <w:r>
        <w:t xml:space="preserve">243M. We contribute a diagnostic that needs only the exponents</w:t>
      </w:r>
      <w:r>
        <w:t xml:space="preserve"> </w:t>
      </w:r>
      <w:r>
        <w:t xml:space="preserve">a study already publishes, a closed remedy that fits the composition on the simplex</w:t>
      </w:r>
      <w:r>
        <w:t xml:space="preserve"> </w:t>
      </w:r>
      <w:r>
        <w:t xml:space="preserve">and is 5.4% more accurate in range, and the finding that an</w:t>
      </w:r>
      <w:r>
        <w:t xml:space="preserve"> </w:t>
      </w:r>
      <w:r>
        <w:t xml:space="preserve">inadmissible fit voids negative conclusions as well as forecasts, which we</w:t>
      </w:r>
      <w:r>
        <w:t xml:space="preserve"> </w:t>
      </w:r>
      <w:r>
        <w:t xml:space="preserve">demonstrate by retracting one of our own. For managers the practical yield is a</w:t>
      </w:r>
      <w:r>
        <w:t xml:space="preserve"> </w:t>
      </w:r>
      <w:r>
        <w:t xml:space="preserve">cheap, auditable test of whether a supplier’s roadmap claim is arithmetic or</w:t>
      </w:r>
      <w:r>
        <w:t xml:space="preserve"> </w:t>
      </w:r>
      <w:r>
        <w:t xml:space="preserve">assertion.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admissibility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The procedure is appealing because it is cheap and because it appears to convert an</w:t>
      </w:r>
      <w:r>
        <w:t xml:space="preserve"> </w:t>
      </w:r>
      <w:r>
        <w:t xml:space="preserve">argument about the future into a measurement. It is also, as we show here,</w:t>
      </w:r>
      <w:r>
        <w:t xml:space="preserve"> </w:t>
      </w:r>
      <w:r>
        <w:t xml:space="preserve">inadmissible whenever the exponents differ, which is the only circumstance in which</w:t>
      </w:r>
      <w:r>
        <w:t xml:space="preserve"> </w:t>
      </w:r>
      <w:r>
        <w:t xml:space="preserve">anybody bothers to compute them. The categories partition the errors, so their rates</w:t>
      </w:r>
      <w:r>
        <w:t xml:space="preserve"> </w:t>
      </w:r>
      <w:r>
        <w:t xml:space="preserve">must sum to the total error rate at every scale. Five curves fitted one at a time</w:t>
      </w:r>
      <w:r>
        <w:t xml:space="preserve"> </w:t>
      </w:r>
      <w:r>
        <w:t xml:space="preserve">do not know this and cannot enforce it. The category with the shallowest decline</w:t>
      </w:r>
      <w:r>
        <w:t xml:space="preserve"> </w:t>
      </w:r>
      <w:r>
        <w:t xml:space="preserve">eventually dominates a total that is falling faster than it is, the parts overtake</w:t>
      </w:r>
      <w:r>
        <w:t xml:space="preserve"> </w:t>
      </w:r>
      <w:r>
        <w:t xml:space="preserve">the whole, and the forecast is then assigning more failures to one category than</w:t>
      </w:r>
      <w:r>
        <w:t xml:space="preserve"> </w:t>
      </w:r>
      <w:r>
        <w:t xml:space="preserve">occur altogether. This is not a wide confidence interval. It is an arithmetic</w:t>
      </w:r>
      <w:r>
        <w:t xml:space="preserve"> </w:t>
      </w:r>
      <w:r>
        <w:t xml:space="preserve">impossibility, and it means the extrapolation stopped reporting the exponents’</w:t>
      </w:r>
      <w:r>
        <w:t xml:space="preserve"> </w:t>
      </w:r>
      <w:r>
        <w:t xml:space="preserve">implications somewhere below the scale at which it was read.</w:t>
      </w:r>
    </w:p>
    <w:p>
      <w:pPr>
        <w:pStyle w:val="BodyText"/>
      </w:pPr>
      <w:r>
        <w:t xml:space="preserve">We came to this the embarrassing way. A companion study of ours</w:t>
      </w:r>
      <w:r>
        <w:t xml:space="preserve"> </w:t>
      </w:r>
      <w:r>
        <w:t xml:space="preserve">(Rathore et al. 2026)</w:t>
      </w:r>
      <w:r>
        <w:t xml:space="preserve"> </w:t>
      </w:r>
      <w:r>
        <w:t xml:space="preserve">decomposed the</w:t>
      </w:r>
      <w:r>
        <w:t xml:space="preserve"> </w:t>
      </w:r>
      <w:r>
        <w:t xml:space="preserve">illegal moves made by chess transformers, fitted a curve per category, and projected</w:t>
      </w:r>
      <w:r>
        <w:t xml:space="preserve"> </w:t>
      </w:r>
      <w:r>
        <w:t xml:space="preserve">to one billion parameters. That projection was inadmissible, and the threshold at</w:t>
      </w:r>
      <w:r>
        <w:t xml:space="preserve"> </w:t>
      </w:r>
      <w:r>
        <w:t xml:space="preserve">which it became so, 174M parameters, lay well below the scale we</w:t>
      </w:r>
      <w:r>
        <w:t xml:space="preserve"> </w:t>
      </w:r>
      <w:r>
        <w:t xml:space="preserve">had read it at. The fitted curves had passed every quality gate we had, agreed</w:t>
      </w:r>
      <w:r>
        <w:t xml:space="preserve"> </w:t>
      </w:r>
      <w:r>
        <w:t xml:space="preserve">closely with the data in range, and were still describing something that cannot</w:t>
      </w:r>
      <w:r>
        <w:t xml:space="preserve"> </w:t>
      </w:r>
      <w:r>
        <w:t xml:space="preserve">happen. We report the diagnosis, the remedy, and our own retraction together,</w:t>
      </w:r>
      <w:r>
        <w:t xml:space="preserve"> </w:t>
      </w:r>
      <w:r>
        <w:t xml:space="preserve">because the sequence is the argument: this failure is invisible to the checks</w:t>
      </w:r>
      <w:r>
        <w:t xml:space="preserve"> </w:t>
      </w:r>
      <w:r>
        <w:t xml:space="preserve">practitioners 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failure of independently fitted category curves to respect the</w:t>
      </w:r>
      <w:r>
        <w:t xml:space="preserve"> </w:t>
      </w:r>
      <w:r>
        <w:t xml:space="preserve">partition identity incidental to particular data, or structural?</w:t>
      </w:r>
    </w:p>
    <w:p>
      <w:pPr>
        <w:pStyle w:val="BodyText"/>
      </w:pPr>
      <w:r>
        <w:t xml:space="preserve">Establish the condition under which the parts must outgrow the whole and</w:t>
      </w:r>
      <w:r>
        <w:t xml:space="preserve"> </w:t>
      </w:r>
      <w:r>
        <w:t xml:space="preserve">derive the scale at which a given decomposition becomes inadmissible</w:t>
      </w:r>
      <w:r>
        <w:t xml:space="preserve"> </w:t>
      </w:r>
      <w:r>
        <w:t xml:space="preserve">(Section </w:t>
      </w:r>
      <w:hyperlink w:anchor="sec:design">
        <w:r>
          <w:rPr>
            <w:rStyle w:val="Hyperlink"/>
          </w:rPr>
          <w:t xml:space="preserve">3</w:t>
        </w:r>
      </w:hyperlink>
      <w:r>
        <w:t xml:space="preserve">).</w:t>
      </w:r>
    </w:p>
    <w:p>
      <w:pPr>
        <w:pStyle w:val="BodyText"/>
      </w:pPr>
      <w:r>
        <w:t xml:space="preserve">Can the defect be detected from what published studies already report,</w:t>
      </w:r>
      <w:r>
        <w:t xml:space="preserve"> </w:t>
      </w:r>
      <w:r>
        <w:t xml:space="preserve">without access to their data?</w:t>
      </w:r>
    </w:p>
    <w:p>
      <w:pPr>
        <w:pStyle w:val="BodyText"/>
      </w:pPr>
      <w:r>
        <w:t xml:space="preserve">Design and implement a diagnostic that consumes only reported exponents</w:t>
      </w:r>
      <w:r>
        <w:t xml:space="preserve"> </w:t>
      </w:r>
      <w:r>
        <w:t xml:space="preserve">and intercepts (Sections </w:t>
      </w:r>
      <w:hyperlink w:anchor="sec:arch">
        <w:r>
          <w:rPr>
            <w:rStyle w:val="Hyperlink"/>
          </w:rPr>
          <w:t xml:space="preserve">4</w:t>
        </w:r>
      </w:hyperlink>
      <w:r>
        <w:t xml:space="preserve"> </w:t>
      </w:r>
      <w:r>
        <w:t xml:space="preserve">and </w:t>
      </w:r>
      <w:hyperlink w:anchor="sec:method">
        <w:r>
          <w:rPr>
            <w:rStyle w:val="Hyperlink"/>
          </w:rPr>
          <w:t xml:space="preserve">5</w:t>
        </w:r>
      </w:hyperlink>
      <w:r>
        <w:t xml:space="preserve">).</w:t>
      </w:r>
    </w:p>
    <w:p>
      <w:pPr>
        <w:pStyle w:val="BodyText"/>
      </w:pPr>
      <w:r>
        <w:t xml:space="preserve">Does a closed reformulation restore admissibility without costing</w:t>
      </w:r>
      <w:r>
        <w:t xml:space="preserve"> </w:t>
      </w:r>
      <w:r>
        <w:t xml:space="preserve">accuracy?</w:t>
      </w:r>
    </w:p>
    <w:p>
      <w:pPr>
        <w:pStyle w:val="BodyText"/>
      </w:pPr>
      <w:r>
        <w:t xml:space="preserve">Fit the composition on the simplex and compare in-range accuracy against</w:t>
      </w:r>
      <w:r>
        <w:t xml:space="preserve"> </w:t>
      </w:r>
      <w:r>
        <w:t xml:space="preserve">the uncoupled baseline (Section </w:t>
      </w:r>
      <w:hyperlink w:anchor="sec:eval">
        <w:r>
          <w:rPr>
            <w:rStyle w:val="Hyperlink"/>
          </w:rPr>
          <w:t xml:space="preserve">7</w:t>
        </w:r>
      </w:hyperlink>
      <w:r>
        <w:t xml:space="preserve">).</w:t>
      </w:r>
    </w:p>
    <w:p>
      <w:pPr>
        <w:pStyle w:val="BodyText"/>
      </w:pPr>
      <w:r>
        <w:t xml:space="preserve">What does an inadmissible fit invalidate, beyond the forecast itself?</w:t>
      </w:r>
    </w:p>
    <w:p>
      <w:pPr>
        <w:pStyle w:val="BodyText"/>
      </w:pPr>
      <w:r>
        <w:t xml:space="preserve">Test whether conclusions drawn against such a fit survive, using a</w:t>
      </w:r>
      <w:r>
        <w:t xml:space="preserve"> </w:t>
      </w:r>
      <w:r>
        <w:t xml:space="preserve">hypothesis we had previously rejected on exactly that basis</w:t>
      </w:r>
      <w:r>
        <w:t xml:space="preserve"> </w:t>
      </w:r>
      <w:r>
        <w:t xml:space="preserve">(Section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an admissibility condition for per-category</w:t>
      </w:r>
      <w:r>
        <w:t xml:space="preserve"> </w:t>
      </w:r>
      <w:r>
        <w:t xml:space="preserve">scaling forecasts, with a computable breakdown scale, which shows the defect is</w:t>
      </w:r>
      <w:r>
        <w:t xml:space="preserve"> </w:t>
      </w:r>
      <w:r>
        <w:t xml:space="preserve">forced rather than accidental. Second, a closed parameterisation that removes it</w:t>
      </w:r>
      <w:r>
        <w:t xml:space="preserve"> </w:t>
      </w:r>
      <w:r>
        <w:t xml:space="preserve">and is more accurate in range than the practice it replaces, so adoption costs</w:t>
      </w:r>
      <w:r>
        <w:t xml:space="preserve"> </w:t>
      </w:r>
      <w:r>
        <w:t xml:space="preserve">nothing. Third, evidence that inadmissible fits void negative results as well as</w:t>
      </w:r>
      <w:r>
        <w:t xml:space="preserve"> </w:t>
      </w:r>
      <w:r>
        <w:t xml:space="preserve">positive ones, demonstrated by retracting a rejection of our own that turned out to</w:t>
      </w:r>
      <w:r>
        <w:t xml:space="preserve"> </w:t>
      </w:r>
      <w:r>
        <w:t xml:space="preserve">rest on nothing.</w:t>
      </w:r>
    </w:p>
    <w:bookmarkEnd w:id="11"/>
    <w:bookmarkEnd w:id="12"/>
    <w:bookmarkStart w:id="17"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Those studies fit</w:t>
      </w:r>
      <w:r>
        <w:t xml:space="preserve"> </w:t>
      </w:r>
      <w:r>
        <w:t xml:space="preserve">a single aggregate quantity, for which no partition identity exists and the</w:t>
      </w:r>
      <w:r>
        <w:t xml:space="preserve"> </w:t>
      </w:r>
      <w:r>
        <w:t xml:space="preserve">criticism here does not apply. The difficulty arrives when the same machinery is</w:t>
      </w:r>
      <w:r>
        <w:t xml:space="preserve"> </w:t>
      </w:r>
      <w:r>
        <w:t xml:space="preserve">applied category by category to a decomposed error, which is what practitioners</w:t>
      </w:r>
      <w:r>
        <w:t xml:space="preserve"> </w:t>
      </w:r>
      <w:r>
        <w:t xml:space="preserve">want because it is category-level behaviour that determines where to spend. We</w:t>
      </w:r>
      <w:r>
        <w:t xml:space="preserve"> </w:t>
      </w:r>
      <w:r>
        <w:t xml:space="preserve">differ from this literature by asking not how accurate such fits are but whether</w:t>
      </w:r>
      <w:r>
        <w:t xml:space="preserve"> </w:t>
      </w:r>
      <w:r>
        <w:t xml:space="preserve">they are admissible 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inadmissible forecast we describe.</w:t>
      </w:r>
    </w:p>
    <w:bookmarkEnd w:id="14"/>
    <w:bookmarkStart w:id="15"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admissibility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5"/>
    <w:bookmarkStart w:id="16"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6"/>
    <w:bookmarkEnd w:id="17"/>
    <w:bookmarkStart w:id="23" w:name="sec:design"/>
    <w:p>
      <w:pPr>
        <w:pStyle w:val="Heading1"/>
      </w:pPr>
      <w:r>
        <w:t xml:space="preserve">Design Problem and Requirements</w:t>
      </w:r>
    </w:p>
    <w:bookmarkStart w:id="18"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8"/>
    <w:bookmarkStart w:id="19" w:name="the-admissibility-condition."/>
    <w:p>
      <w:pPr>
        <w:pStyle w:val="Heading4"/>
      </w:pPr>
      <w:r>
        <w:t xml:space="preserve">The admissibility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the whole to</w:t>
      </w:r>
      <w:r>
        <w:t xml:space="preserve"> </w:t>
      </w:r>
      <m:oMath>
        <m:sSup>
          <m:e>
            <m:r>
              <m:t>N</m:t>
            </m:r>
          </m:e>
          <m:sup>
            <m:r>
              <m:t>b</m:t>
            </m:r>
          </m:sup>
        </m:sSup>
      </m:oMath>
      <w:r>
        <w:t xml:space="preserve">, so the ratio of parts to whole grows 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 not</w:t>
      </w:r>
      <w:r>
        <w:t xml:space="preserve"> </w:t>
      </w:r>
      <w:r>
        <w:t xml:space="preserve">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Any per-category scaling decomposition whose fitted exponents are not all</w:t>
      </w:r>
      <w:r>
        <w:rPr>
          <w:i/>
          <w:iCs/>
        </w:rPr>
        <w:t xml:space="preserve"> </w:t>
      </w:r>
      <w:r>
        <w:rPr>
          <w:i/>
          <w:iCs/>
        </w:rPr>
        <w:t xml:space="preserve">equal must violate Equation </w:t>
      </w:r>
      <w:hyperlink w:anchor="eq:closure">
        <w:r>
          <w:rPr>
            <w:rStyle w:val="Hyperlink"/>
            <w:i/>
            <w:iCs/>
          </w:rPr>
          <w:t xml:space="preserve">[eq:closure]</w:t>
        </w:r>
      </w:hyperlink>
      <w:r>
        <w:rPr>
          <w:i/>
          <w:iCs/>
        </w:rPr>
        <w:t xml:space="preserve"> </w:t>
      </w:r>
      <w:r>
        <w:rPr>
          <w:i/>
          <w:iCs/>
        </w:rPr>
        <w:t xml:space="preserve">beyond a finite scale, and that scale</w:t>
      </w:r>
      <w:r>
        <w:rPr>
          <w:i/>
          <w:iCs/>
        </w:rPr>
        <w:t xml:space="preserve"> </w:t>
      </w:r>
      <w:r>
        <w:rPr>
          <w:i/>
          <w:iCs/>
        </w:rPr>
        <w:t xml:space="preserve">is computable from the fitted coefficients alone.</w:t>
      </w:r>
    </w:p>
    <w:p>
      <w:pPr>
        <w:pStyle w:val="FirstParagraph"/>
      </w:pPr>
      <w:r>
        <w:t xml:space="preserve">Since exponents that are all equal would make the decomposition pointless, every</w:t>
      </w:r>
      <w:r>
        <w:t xml:space="preserve"> </w:t>
      </w:r>
      <w:r>
        <w:t xml:space="preserve">decomposition worth reporting is inadmissible somewhere. The question is only</w:t>
      </w:r>
      <w:r>
        <w:t xml:space="preserve"> </w:t>
      </w:r>
      <w:r>
        <w:t xml:space="preserve">whether the scale at which it becomes so lies above or below where the forecast was</w:t>
      </w:r>
      <w:r>
        <w:t xml:space="preserve"> </w:t>
      </w:r>
      <w:r>
        <w:t xml:space="preserve">read. Our own values illustrate the mechanism:</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w:t>
      </w:r>
      <w:r>
        <w:t xml:space="preserve"> </w:t>
      </w:r>
      <w:r>
        <w:t xml:space="preserve">rate-weighted mean of the part exponents is</w:t>
      </w:r>
      <w:r>
        <w:t xml:space="preserve"> </w:t>
      </w:r>
      <m:oMath>
        <m:r>
          <m:rPr>
            <m:sty m:val="p"/>
          </m:rPr>
          <m:t>−</m:t>
        </m:r>
      </m:oMath>
      <w:r>
        <w:t xml:space="preserve">0.266, and the</w:t>
      </w:r>
      <w:r>
        <w:t xml:space="preserve"> </w:t>
      </w:r>
      <w:r>
        <w:t xml:space="preserve">separately fitted</w:t>
      </w:r>
      <w:r>
        <w:t xml:space="preserve"> </w:t>
      </w:r>
      <m:oMath>
        <m:r>
          <m:t>b</m:t>
        </m:r>
      </m:oMath>
      <w:r>
        <w:t xml:space="preserve"> </w:t>
      </w:r>
      <w:r>
        <w:t xml:space="preserve">is</w:t>
      </w:r>
      <w:r>
        <w:t xml:space="preserve"> </w:t>
      </w:r>
      <m:oMath>
        <m:r>
          <m:rPr>
            <m:sty m:val="p"/>
          </m:rPr>
          <m:t>−</m:t>
        </m:r>
      </m:oMath>
      <w:r>
        <w:t xml:space="preserve">0.267, giving a divergence rate of</w:t>
      </w:r>
      <w:r>
        <w:t xml:space="preserve"> </w:t>
      </w:r>
      <w:r>
        <w:t xml:space="preserve">+0.154.</w:t>
      </w:r>
    </w:p>
    <w:bookmarkEnd w:id="19"/>
    <w:bookmarkStart w:id="21"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0"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admissibility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admissible alternative cost nothing</w:t>
            </w:r>
          </w:p>
        </w:tc>
        <w:tc>
          <w:tcPr/>
          <w:p>
            <w:pPr>
              <w:pStyle w:val="Compact"/>
              <w:jc w:val="left"/>
            </w:pPr>
            <w:r>
              <w:t xml:space="preserve">The closed reformulation is</w:t>
            </w:r>
            <w:r>
              <w:t xml:space="preserve"> </w:t>
            </w:r>
            <w:r>
              <w:t xml:space="preserve">chosen so that in-range accuracy does not decline, removing the incentive to skip</w:t>
            </w:r>
            <w:r>
              <w:t xml:space="preserve"> </w:t>
            </w:r>
            <w:r>
              <w:t xml:space="preserve">it.</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inadmissible fit</w:t>
            </w:r>
            <w:r>
              <w:t xml:space="preserve"> </w:t>
            </w:r>
            <w:r>
              <w:t xml:space="preserve">costs, which includes conclusions drawn against it, not only its forecasts.</w:t>
            </w:r>
          </w:p>
        </w:tc>
      </w:tr>
    </w:tbl>
    <w:bookmarkEnd w:id="20"/>
    <w:bookmarkEnd w:id="21"/>
    <w:bookmarkStart w:id="22"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An inadmissible forecast can rest</w:t>
      </w:r>
      <w:r>
        <w:t xml:space="preserve"> </w:t>
      </w:r>
      <w:r>
        <w:t xml:space="preserve">on exponents that are individually excellent, which is precisely what makes the</w:t>
      </w:r>
      <w:r>
        <w:t xml:space="preserve"> </w:t>
      </w:r>
      <w:r>
        <w:t xml:space="preserve">defect hard to see.</w:t>
      </w:r>
    </w:p>
    <w:bookmarkEnd w:id="22"/>
    <w:bookmarkEnd w:id="23"/>
    <w:bookmarkStart w:id="28"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4"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an admissibility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4"/>
    <w:bookmarkStart w:id="25"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5"/>
    <w:bookmarkStart w:id="26" w:name="the-closed-model."/>
    <w:p>
      <w:pPr>
        <w:pStyle w:val="Heading4"/>
      </w:pPr>
      <w:r>
        <w:t xml:space="preserve">The closed model.</w:t>
      </w:r>
    </w:p>
    <w:p>
      <w:pPr>
        <w:pStyle w:val="FirstParagraph"/>
      </w:pPr>
      <w:r>
        <w:t xml:space="preserve">The remedy, which parameterises the composition as a softmax linear in</w:t>
      </w:r>
      <w:r>
        <w:t xml:space="preserve"> </w:t>
      </w:r>
      <m:oMath>
        <m:r>
          <m:rPr>
            <m:sty m:val="p"/>
          </m:rPr>
          <m:t>log</m:t>
        </m:r>
        <m:r>
          <m:t>N</m:t>
        </m:r>
      </m:oMath>
      <w:r>
        <w:t xml:space="preserve"> </w:t>
      </w:r>
      <w:r>
        <w:t xml:space="preserve">and</w:t>
      </w:r>
      <w:r>
        <w:t xml:space="preserve"> </w:t>
      </w:r>
      <w:r>
        <w:t xml:space="preserve">multiplies it by a separately fitted total. Shares sum to one at every scale for</w:t>
      </w:r>
      <w:r>
        <w:t xml:space="preserve"> </w:t>
      </w:r>
      <w:r>
        <w:t xml:space="preserve">every parameter value, so Equation </w:t>
      </w:r>
      <w:hyperlink w:anchor="eq:closure">
        <w:r>
          <w:rPr>
            <w:rStyle w:val="Hyperlink"/>
          </w:rPr>
          <w:t xml:space="preserve">[eq:closure]</w:t>
        </w:r>
      </w:hyperlink>
      <w:r>
        <w:t xml:space="preserve"> </w:t>
      </w:r>
      <w:r>
        <w:t xml:space="preserve">holds by construction and no</w:t>
      </w:r>
      <w:r>
        <w:t xml:space="preserve"> </w:t>
      </w:r>
      <w:r>
        <w:t xml:space="preserve">setting of the parameters can produce an impossible forecast. The total keeps an</w:t>
      </w:r>
      <w:r>
        <w:t xml:space="preserve"> </w:t>
      </w:r>
      <w:r>
        <w:t xml:space="preserve">ordinary power law, which is legitimate because a total is not a part of anything.</w:t>
      </w:r>
    </w:p>
    <w:bookmarkEnd w:id="26"/>
    <w:bookmarkStart w:id="27" w:name="tolerance."/>
    <w:p>
      <w:pPr>
        <w:pStyle w:val="Heading4"/>
      </w:pPr>
      <w:r>
        <w:t xml:space="preserve">Tolerance.</w:t>
      </w:r>
    </w:p>
    <w:p>
      <w:pPr>
        <w:pStyle w:val="FirstParagraph"/>
      </w:pPr>
      <w:r>
        <w:t xml:space="preserve">Admissibility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27"/>
    <w:bookmarkEnd w:id="28"/>
    <w:bookmarkStart w:id="33" w:name="sec:method"/>
    <w:p>
      <w:pPr>
        <w:pStyle w:val="Heading1"/>
      </w:pPr>
      <w:r>
        <w:t xml:space="preserve">Method and Measurements</w:t>
      </w:r>
    </w:p>
    <w:bookmarkStart w:id="29"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29"/>
    <w:bookmarkStart w:id="30"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admissibility, because the</w:t>
      </w:r>
      <w:r>
        <w:t xml:space="preserve"> </w:t>
      </w:r>
      <w:r>
        <w:t xml:space="preserve">diagnostic does not require it. Each family is checked against its own partition.</w:t>
      </w:r>
    </w:p>
    <w:bookmarkEnd w:id="30"/>
    <w:bookmarkStart w:id="31"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1"/>
    <w:bookmarkStart w:id="32"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w:t>
      </w:r>
      <w:r>
        <w:t xml:space="preserve"> </w:t>
      </w:r>
      <w:r>
        <w:t xml:space="preserve">sets the top of our ladder, which is why the independently trained family carries</w:t>
      </w:r>
      <w:r>
        <w:t xml:space="preserve"> </w:t>
      </w:r>
      <w:r>
        <w:t xml:space="preserve">weight in Section </w:t>
      </w:r>
      <w:hyperlink w:anchor="sec:eval">
        <w:r>
          <w:rPr>
            <w:rStyle w:val="Hyperlink"/>
          </w:rPr>
          <w:t xml:space="preserve">7</w:t>
        </w:r>
      </w:hyperlink>
      <w:r>
        <w:t xml:space="preserve">.</w:t>
      </w:r>
    </w:p>
    <w:bookmarkEnd w:id="32"/>
    <w:bookmarkEnd w:id="33"/>
    <w:bookmarkStart w:id="34"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ten fitted coefficients and returns:</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total exponent of</w:t>
      </w:r>
      <w:r>
        <w:t xml:space="preserve"> </w:t>
      </w:r>
      <m:oMath>
        <m:r>
          <m:rPr>
            <m:sty m:val="p"/>
          </m:rPr>
          <m:t>−</m:t>
        </m:r>
      </m:oMath>
      <w:r>
        <w:t xml:space="preserve">0.267, a divergence rate</w:t>
      </w:r>
      <w:r>
        <w:t xml:space="preserve"> </w:t>
      </w:r>
      <w:r>
        <w:t xml:space="preserve">of +0.154, and a breakdown scale of 174M parameters at</w:t>
      </w:r>
      <w:r>
        <w:t xml:space="preserve"> </w:t>
      </w:r>
      <w:r>
        <w:t xml:space="preserve">a ten percent tolerance. The intended forecast scale is one billion. The forecast is</w:t>
      </w:r>
      <w:r>
        <w:t xml:space="preserve"> </w:t>
      </w:r>
      <w:r>
        <w:t xml:space="preserve">therefore being read roughly six times past the point at which the decomposition</w:t>
      </w:r>
      <w:r>
        <w:t xml:space="preserve"> </w:t>
      </w:r>
      <w:r>
        <w:t xml:space="preserve">stops being arithmetic, and the overspend there is 1.27</w:t>
      </w:r>
      <w:r>
        <w:t xml:space="preserve"> </w:t>
      </w:r>
      <w:r>
        <w:t xml:space="preserve">[1.13, 1.57], above one in</w:t>
      </w:r>
      <w:r>
        <w:t xml:space="preserve"> </w:t>
      </w:r>
      <w:r>
        <w:t xml:space="preserve">100% of resamples of the ladder.</w:t>
      </w:r>
    </w:p>
    <w:p>
      <w:pPr>
        <w:pStyle w:val="BodyText"/>
      </w:pPr>
      <w:r>
        <w:t xml:space="preserve">The analyst now has two usable options and one unusable one. The unusable option is</w:t>
      </w:r>
      <w:r>
        <w:t xml:space="preserve"> </w:t>
      </w:r>
      <w:r>
        <w:t xml:space="preserve">to widen the intervals, which does not help, because the problem is not that the</w:t>
      </w:r>
      <w:r>
        <w:t xml:space="preserve"> </w:t>
      </w:r>
      <w:r>
        <w:t xml:space="preserve">estimate is imprecise. The first usable option is to report the forecast only up to</w:t>
      </w:r>
      <w:r>
        <w:t xml:space="preserve"> </w:t>
      </w:r>
      <w:r>
        <w:t xml:space="preserve">174M parameters and say so. The second is to refit the composition</w:t>
      </w:r>
      <w:r>
        <w:t xml:space="preserve"> </w:t>
      </w:r>
      <w:r>
        <w:t xml:space="preserve">on the simplex, which restores admissibility at every scale and, on these data,</w:t>
      </w:r>
      <w:r>
        <w:t xml:space="preserve"> </w:t>
      </w:r>
      <w:r>
        <w:t xml:space="preserve">improves in-range accuracy. Section </w:t>
      </w:r>
      <w:hyperlink w:anchor="sec:eval">
        <w:r>
          <w:rPr>
            <w:rStyle w:val="Hyperlink"/>
          </w:rPr>
          <w:t xml:space="preserve">7</w:t>
        </w:r>
      </w:hyperlink>
      <w:r>
        <w:t xml:space="preserve"> </w:t>
      </w:r>
      <w:r>
        <w:t xml:space="preserve">reports what that refit gives.</w:t>
      </w:r>
    </w:p>
    <w:bookmarkEnd w:id="34"/>
    <w:bookmarkStart w:id="42" w:name="sec:eval"/>
    <w:p>
      <w:pPr>
        <w:pStyle w:val="Heading1"/>
      </w:pPr>
      <w:r>
        <w:t xml:space="preserve">Evaluation</w:t>
      </w:r>
    </w:p>
    <w:bookmarkStart w:id="36"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5" w:name="tab:overspend"/>
    <w:p>
      <w:pPr>
        <w:pStyle w:val="TableCaption"/>
      </w:pPr>
      <w:r>
        <w:t xml:space="preserve">Parts-to-whole ratio under independently fitted category curves. A value</w:t>
      </w:r>
      <w:r>
        <w:t xml:space="preserve"> </w:t>
      </w:r>
      <w:r>
        <w:t xml:space="preserve">above one is not a wide estimate but an impossibility. Interval from resampling the</w:t>
      </w:r>
      <w:r>
        <w:t xml:space="preserve"> </w:t>
      </w:r>
      <w:r>
        <w:t xml:space="preserve">ladder’s size rungs.</w:t>
      </w:r>
    </w:p>
    <w:tbl>
      <w:tblPr>
        <w:tblStyle w:val="Table"/>
        <w:tblW w:type="auto" w:w="0"/>
        <w:tblLook w:firstRow="1" w:lastRow="0" w:firstColumn="0" w:lastColumn="0" w:noHBand="0" w:noVBand="0" w:val="0020"/>
        <w:tblCaption w:val="Parts-to-whole ratio under independently fitted category curves. A value above one is not a wide estimate but an impossibility.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5"/>
    <w:bookmarkEnd w:id="36"/>
    <w:bookmarkStart w:id="37" w:name="Xbda3c5cef277576c6b722a387ce89cf6acd5636"/>
    <w:p>
      <w:pPr>
        <w:pStyle w:val="Heading4"/>
      </w:pPr>
      <w:r>
        <w:t xml:space="preserve">Does it replicate on a family we did not train?</w:t>
      </w:r>
    </w:p>
    <w:p>
      <w:pPr>
        <w:pStyle w:val="FirstParagraph"/>
      </w:pPr>
      <w:r>
        <w:t xml:space="preserve">Yes, and at a similar magnitude. Refitting the independent ladder over its own</w:t>
      </w:r>
      <w:r>
        <w:t xml:space="preserve"> </w:t>
      </w:r>
      <w:r>
        <w:t xml:space="preserve">4 usable categories gives</w:t>
      </w:r>
      <w:r>
        <w:t xml:space="preserve"> </w:t>
      </w:r>
      <m:oMath>
        <m:sSup>
          <m:e>
            <m:r>
              <m:t>a</m:t>
            </m:r>
          </m:e>
          <m:sup>
            <m:r>
              <m:rPr>
                <m:sty m:val="p"/>
              </m:rPr>
              <m:t>⋆</m:t>
            </m:r>
          </m:sup>
        </m:sSup>
      </m:oMath>
      <w:r>
        <w:t xml:space="preserve"> </w:t>
      </w:r>
      <m:oMath>
        <m:r>
          <m:rPr>
            <m:sty m:val="p"/>
          </m:rPr>
          <m:t>−</m:t>
        </m:r>
      </m:oMath>
      <w:r>
        <w:t xml:space="preserve">1.044 against</w:t>
      </w:r>
      <w:r>
        <w:t xml:space="preserve"> </w:t>
      </w:r>
      <w:r>
        <w:t xml:space="preserve">a total of</w:t>
      </w:r>
      <w:r>
        <w:t xml:space="preserve"> </w:t>
      </w:r>
      <m:oMath>
        <m:r>
          <m:rPr>
            <m:sty m:val="p"/>
          </m:rPr>
          <m:t>−</m:t>
        </m:r>
      </m:oMath>
      <w:r>
        <w:t xml:space="preserve">1.278, a divergence rate of +0.234, an</w:t>
      </w:r>
      <w:r>
        <w:t xml:space="preserve"> </w:t>
      </w:r>
      <w:r>
        <w:t xml:space="preserve">overspend of 1.28 at one billion parameters, and a breakdown scale</w:t>
      </w:r>
      <w:r>
        <w:t xml:space="preserve"> </w:t>
      </w:r>
      <w:r>
        <w:t xml:space="preserve">of 243M.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37"/>
    <w:bookmarkStart w:id="38" w:name="does-the-remedy-cost-accuracy"/>
    <w:p>
      <w:pPr>
        <w:pStyle w:val="Heading4"/>
      </w:pPr>
      <w:r>
        <w:t xml:space="preserve">Does the remedy cost accuracy?</w:t>
      </w:r>
    </w:p>
    <w:p>
      <w:pPr>
        <w:pStyle w:val="FirstParagraph"/>
      </w:pPr>
      <w:r>
        <w:t xml:space="preserve">No, it improves it. Fitted in range across the 18 runs, the closed model</w:t>
      </w:r>
      <w:r>
        <w:t xml:space="preserve"> </w:t>
      </w:r>
      <w:r>
        <w:t xml:space="preserve">attains a root-mean-square error of 0.01251 in share space against</w:t>
      </w:r>
      <w:r>
        <w:t xml:space="preserve"> </w:t>
      </w:r>
      <w:r>
        <w:t xml:space="preserve">0.01322 for the uncoupled fits, an improvement of</w:t>
      </w:r>
      <w:r>
        <w:t xml:space="preserve"> </w:t>
      </w:r>
      <w:r>
        <w:t xml:space="preserve">5.4%. This matters for adoption rather than for truth: an</w:t>
      </w:r>
      <w:r>
        <w:t xml:space="preserve"> </w:t>
      </w:r>
      <w:r>
        <w:t xml:space="preserve">admissible model that fitted worse would face a trade-off argument, and this one</w:t>
      </w:r>
      <w:r>
        <w:t xml:space="preserve"> </w:t>
      </w:r>
      <w:r>
        <w:t xml:space="preserve">does not. Under the closed model the least local category’s share rises from</w:t>
      </w:r>
      <w:r>
        <w:t xml:space="preserve"> </w:t>
      </w:r>
      <w:r>
        <w:t xml:space="preserve">0.444 at the top of our range to 0.588 at one billion</w:t>
      </w:r>
      <w:r>
        <w:t xml:space="preserve"> </w:t>
      </w:r>
      <w:r>
        <w:t xml:space="preserve">and 0.769 at one trillion, approaching but never exceeding</w:t>
      </w:r>
      <w:r>
        <w:t xml:space="preserve"> </w:t>
      </w:r>
      <w:r>
        <w:t xml:space="preserve">0.871, while the most local category falls to 0.001.</w:t>
      </w:r>
      <w:r>
        <w:t xml:space="preserve"> </w:t>
      </w:r>
      <w:r>
        <w:t xml:space="preserve">The substantive ordering the decomposition was meant to establish survives. What</w:t>
      </w:r>
      <w:r>
        <w:t xml:space="preserve"> </w:t>
      </w:r>
      <w:r>
        <w:t xml:space="preserve">changes is that the numbers are now ones the categories can jointly satisfy.</w:t>
      </w:r>
    </w:p>
    <w:bookmarkEnd w:id="38"/>
    <w:bookmarkStart w:id="39"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39"/>
    <w:bookmarkStart w:id="40" w:name="what-an-inadmissible-fit-invalidates."/>
    <w:p>
      <w:pPr>
        <w:pStyle w:val="Heading4"/>
      </w:pPr>
      <w:r>
        <w:t xml:space="preserve">What an inadmissible fit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w:t>
      </w:r>
      <w:r>
        <w:t xml:space="preserve"> </w:t>
      </w:r>
      <w:r>
        <w:t xml:space="preserve">shares exceeded one, and recorded the rejection. That rejection was worthless.</w:t>
      </w:r>
      <w:r>
        <w:t xml:space="preserve"> </w:t>
      </w:r>
      <w:r>
        <w:t xml:space="preserve">Predicting an impossibility is what the uncoupled form does everywhere, so its</w:t>
      </w:r>
      <w:r>
        <w:t xml:space="preserve"> </w:t>
      </w:r>
      <w:r>
        <w:t xml:space="preserve">disagreement with the data carried no evidence about the hypothesis under test. We</w:t>
      </w:r>
      <w:r>
        <w:t xml:space="preserve"> </w:t>
      </w:r>
      <w:r>
        <w:t xml:space="preserve">repeated the comparison admissibly,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w:t>
      </w:r>
      <w:r>
        <w:t xml:space="preserve"> </w:t>
      </w:r>
      <w:r>
        <w:t xml:space="preserve">of 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r>
        <w:t xml:space="preserve"> </w:t>
      </w:r>
      <w:r>
        <w:t xml:space="preserve">An inadmissible fit cannot be used to reject a hypothesis, because a model that</w:t>
      </w:r>
      <w:r>
        <w:t xml:space="preserve"> </w:t>
      </w:r>
      <w:r>
        <w:t xml:space="preserve">predicts impossibilities everywhere cannot be embarrassed by data anywhere. We have</w:t>
      </w:r>
      <w:r>
        <w:t xml:space="preserve"> </w:t>
      </w:r>
      <w:r>
        <w:t xml:space="preserve">not seen this stated, and we had it wrong ourselves until we checked.</w:t>
      </w:r>
    </w:p>
    <w:bookmarkEnd w:id="40"/>
    <w:bookmarkStart w:id="41"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closed model that error diversity should collapse with scale, since a</w:t>
      </w:r>
      <w:r>
        <w:t xml:space="preserve"> </w:t>
      </w:r>
      <w:r>
        <w:t xml:space="preserve">softmax converges to its steepest component,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41"/>
    <w:bookmarkEnd w:id="42"/>
    <w:bookmarkStart w:id="47" w:name="sec:discussion"/>
    <w:p>
      <w:pPr>
        <w:pStyle w:val="Heading1"/>
      </w:pPr>
      <w:r>
        <w:t xml:space="preserve">Discussion</w:t>
      </w:r>
    </w:p>
    <w:bookmarkStart w:id="43"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a softmax is standard;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inadmissible using</w:t>
      </w:r>
      <w:r>
        <w:t xml:space="preserve"> </w:t>
      </w:r>
      <w:r>
        <w:t xml:space="preserve">only what the analyst already has, and the closed model gives somewhere to go that</w:t>
      </w:r>
      <w:r>
        <w:t xml:space="preserve"> </w:t>
      </w:r>
      <w:r>
        <w:t xml:space="preserve">costs nothing in accuracy. A criticism that arrives with a remedy priced at zero is</w:t>
      </w:r>
      <w:r>
        <w:t xml:space="preserve"> </w:t>
      </w:r>
      <w:r>
        <w:t xml:space="preserve">adopted; one that arrives as a warning is filed.</w:t>
      </w:r>
    </w:p>
    <w:bookmarkEnd w:id="43"/>
    <w:bookmarkStart w:id="44" w:name="a-design-choice-defence."/>
    <w:p>
      <w:pPr>
        <w:pStyle w:val="Heading4"/>
      </w:pPr>
      <w:r>
        <w:t xml:space="preserve">A design-choice defence.</w:t>
      </w:r>
    </w:p>
    <w:p>
      <w:pPr>
        <w:pStyle w:val="FirstParagraph"/>
      </w:pPr>
      <w:r>
        <w:t xml:space="preserve">The softmax is one admissible parameterisation among many, and we do not claim it is</w:t>
      </w:r>
      <w:r>
        <w:t xml:space="preserve"> </w:t>
      </w:r>
      <w:r>
        <w:t xml:space="preserve">the right one. Any link that maps the real line onto the simplex would enforce</w:t>
      </w:r>
      <w:r>
        <w:t xml:space="preserve"> </w:t>
      </w:r>
      <w:r>
        <w:t xml:space="preserve">Equation </w:t>
      </w:r>
      <w:hyperlink w:anchor="eq:closure">
        <w:r>
          <w:rPr>
            <w:rStyle w:val="Hyperlink"/>
          </w:rPr>
          <w:t xml:space="preserve">[eq:closure]</w:t>
        </w:r>
      </w:hyperlink>
      <w:r>
        <w:t xml:space="preserve">, and different links would give different numbers beyond</w:t>
      </w:r>
      <w:r>
        <w:t xml:space="preserve"> </w:t>
      </w:r>
      <w:r>
        <w:t xml:space="preserve">the observed range while agreeing that the uncoupled numbers are inadmissible. We</w:t>
      </w:r>
      <w:r>
        <w:t xml:space="preserve"> </w:t>
      </w:r>
      <w:r>
        <w:t xml:space="preserve">chose the softmax because it is the minimal change from a log-linear fit, reducing</w:t>
      </w:r>
      <w:r>
        <w:t xml:space="preserve"> </w:t>
      </w:r>
      <w:r>
        <w:t xml:space="preserve">to one when there are two categories, so an analyst can adopt it without adopting a</w:t>
      </w:r>
      <w:r>
        <w:t xml:space="preserve"> </w:t>
      </w:r>
      <w:r>
        <w:t xml:space="preserve">new modelling philosophy. The transferable knowledge is the admissibility condition,</w:t>
      </w:r>
      <w:r>
        <w:t xml:space="preserve"> </w:t>
      </w:r>
      <w:r>
        <w:t xml:space="preserve">not the link.</w:t>
      </w:r>
    </w:p>
    <w:bookmarkEnd w:id="44"/>
    <w:bookmarkStart w:id="45"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45"/>
    <w:bookmarkStart w:id="46"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46"/>
    <w:bookmarkEnd w:id="47"/>
    <w:bookmarkStart w:id="52" w:name="sec:implications"/>
    <w:p>
      <w:pPr>
        <w:pStyle w:val="Heading1"/>
      </w:pPr>
      <w:r>
        <w:t xml:space="preserve">Implications for Individuals, Organisations, and Society</w:t>
      </w:r>
    </w:p>
    <w:bookmarkStart w:id="48" w:name="X5607ec1ed445a25589bfe2325c0480f28f41d38"/>
    <w:p>
      <w:pPr>
        <w:pStyle w:val="Heading4"/>
      </w:pPr>
      <w:r>
        <w:t xml:space="preserve">For the people affected by the systems these forecasts govern.</w:t>
      </w:r>
    </w:p>
    <w:p>
      <w:pPr>
        <w:pStyle w:val="FirstParagraph"/>
      </w:pPr>
      <w:r>
        <w:t xml:space="preserve">The forecasts in question decide which defects get fixed and which are left to be</w:t>
      </w:r>
      <w:r>
        <w:t xml:space="preserve"> </w:t>
      </w:r>
      <w:r>
        <w:t xml:space="preserve">cured by the next model. That decision is felt by whoever is on the receiving end of</w:t>
      </w:r>
      <w:r>
        <w:t xml:space="preserve"> </w:t>
      </w:r>
      <w:r>
        <w:t xml:space="preserve">the defect that was left: the applicant whose document is misread, the patient whose</w:t>
      </w:r>
      <w:r>
        <w:t xml:space="preserve"> </w:t>
      </w:r>
      <w:r>
        <w:t xml:space="preserve">triage note is misfiled, the small trader whose claim is misclassified. When a</w:t>
      </w:r>
      <w:r>
        <w:t xml:space="preserve"> </w:t>
      </w:r>
      <w:r>
        <w:t xml:space="preserve">category of failure is forecast to disappear with scale, mitigation for it is</w:t>
      </w:r>
      <w:r>
        <w:t xml:space="preserve"> </w:t>
      </w:r>
      <w:r>
        <w:t xml:space="preserve">deferred, and the deferral lasts as long as the forecast is believed. An</w:t>
      </w:r>
      <w:r>
        <w:t xml:space="preserve"> </w:t>
      </w:r>
      <w:r>
        <w:t xml:space="preserve">inadmissible forecast systematically favours deferral, because the categories it</w:t>
      </w:r>
      <w:r>
        <w:t xml:space="preserve"> </w:t>
      </w:r>
      <w:r>
        <w:t xml:space="preserve">inflates are the shallow ones, which are exactly the ones described as persistent.</w:t>
      </w:r>
      <w:r>
        <w:t xml:space="preserve"> </w:t>
      </w:r>
      <w:r>
        <w:t xml:space="preserve">The people who carry the cost of an over-optimistic roadmap are rarely the people</w:t>
      </w:r>
      <w:r>
        <w:t xml:space="preserve"> </w:t>
      </w:r>
      <w:r>
        <w:t xml:space="preserve">who wrote it, and they have no way to contest an analysis they cannot see. A test</w:t>
      </w:r>
      <w:r>
        <w:t xml:space="preserve"> </w:t>
      </w:r>
      <w:r>
        <w:t xml:space="preserve">that runs on published coefficients gives an advocate, a regulator, or an</w:t>
      </w:r>
      <w:r>
        <w:t xml:space="preserve"> </w:t>
      </w:r>
      <w:r>
        <w:t xml:space="preserve">ombudsman something concrete to ask for.</w:t>
      </w:r>
    </w:p>
    <w:bookmarkEnd w:id="48"/>
    <w:bookmarkStart w:id="49"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an admissibility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49"/>
    <w:bookmarkStart w:id="50" w:name="strategic-implications."/>
    <w:p>
      <w:pPr>
        <w:pStyle w:val="Heading4"/>
      </w:pPr>
      <w:r>
        <w:t xml:space="preserve">Strategic implications.</w:t>
      </w:r>
    </w:p>
    <w:p>
      <w:pPr>
        <w:pStyle w:val="FirstParagraph"/>
      </w:pPr>
      <w:r>
        <w:t xml:space="preserve">Treat forecast admissibility as an ownership question. An organisation that can</w:t>
      </w:r>
      <w:r>
        <w:t xml:space="preserve"> </w:t>
      </w:r>
      <w:r>
        <w:t xml:space="preserve">audit capability claims in-house is not dependent on its suppliers’ analysts for the</w:t>
      </w:r>
      <w:r>
        <w:t xml:space="preserve"> </w:t>
      </w:r>
      <w:r>
        <w:t xml:space="preserve">most consequential input into its own roadmap, and it is not exposed when a vendor</w:t>
      </w:r>
      <w:r>
        <w:t xml:space="preserve"> </w:t>
      </w:r>
      <w:r>
        <w:t xml:space="preserve">relationship ends. The artifact is small, has one dependency, and requires no</w:t>
      </w:r>
      <w:r>
        <w:t xml:space="preserve"> </w:t>
      </w:r>
      <w:r>
        <w:t xml:space="preserve">proprietary data, so this is genuinely available to organisations that could not</w:t>
      </w:r>
      <w:r>
        <w:t xml:space="preserve"> </w:t>
      </w:r>
      <w:r>
        <w:t xml:space="preserve">build an evaluation science function. We also read it as an accountability asset</w:t>
      </w:r>
      <w:r>
        <w:t xml:space="preserve"> </w:t>
      </w:r>
      <w:r>
        <w:t xml:space="preserve">rather than an overhead. A firm that can show it tested the admissibility of the</w:t>
      </w:r>
      <w:r>
        <w:t xml:space="preserve"> </w:t>
      </w:r>
      <w:r>
        <w:t xml:space="preserve">forecasts underlying a deployment decision is in a materially stronger position with</w:t>
      </w:r>
      <w:r>
        <w:t xml:space="preserve"> </w:t>
      </w:r>
      <w:r>
        <w:t xml:space="preserve">auditors and regulators than one that can show only that it believed a vendor, and</w:t>
      </w:r>
      <w:r>
        <w:t xml:space="preserve"> </w:t>
      </w:r>
      <w:r>
        <w:t xml:space="preserve">the record is created as a by-product of doing the analysis properly.</w:t>
      </w:r>
    </w:p>
    <w:bookmarkEnd w:id="50"/>
    <w:bookmarkStart w:id="51" w:name="for-society-and-digital-equity."/>
    <w:p>
      <w:pPr>
        <w:pStyle w:val="Heading4"/>
      </w:pPr>
      <w:r>
        <w:t xml:space="preserve">For society and digital equity.</w:t>
      </w:r>
    </w:p>
    <w:p>
      <w:pPr>
        <w:pStyle w:val="FirstParagraph"/>
      </w:pPr>
      <w:r>
        <w:t xml:space="preserve">The ability to check a scaling claim should not be a function of having a research</w:t>
      </w:r>
      <w:r>
        <w:t xml:space="preserve"> </w:t>
      </w:r>
      <w:r>
        <w:t xml:space="preserve">team. At present, evaluating whether a capability forecast is sound requires either</w:t>
      </w:r>
      <w:r>
        <w:t xml:space="preserve"> </w:t>
      </w:r>
      <w:r>
        <w:t xml:space="preserve">the underlying data, which is usually unavailable, or the standing to be believed</w:t>
      </w:r>
      <w:r>
        <w:t xml:space="preserve"> </w:t>
      </w:r>
      <w:r>
        <w:t xml:space="preserve">when disagreeing, which is distributed very unevenly. A diagnostic that consumes</w:t>
      </w:r>
      <w:r>
        <w:t xml:space="preserve"> </w:t>
      </w:r>
      <w:r>
        <w:t xml:space="preserve">only published coefficients moves this from the second category to the first: it is</w:t>
      </w:r>
      <w:r>
        <w:t xml:space="preserve"> </w:t>
      </w:r>
      <w:r>
        <w:t xml:space="preserve">checkable by a civil-society organisation, a journalist, a procurement officer in a</w:t>
      </w:r>
      <w:r>
        <w:t xml:space="preserve"> </w:t>
      </w:r>
      <w:r>
        <w:t xml:space="preserve">small public body, or a graduate student, on ordinary hardware. We note that all</w:t>
      </w:r>
      <w:r>
        <w:t xml:space="preserve"> </w:t>
      </w:r>
      <w:r>
        <w:t xml:space="preserve">measurements reported here were produced on a single consumer laptop graphics card,</w:t>
      </w:r>
      <w:r>
        <w:t xml:space="preserve"> </w:t>
      </w:r>
      <w:r>
        <w:t xml:space="preserve">which is not incidental to that claim. We also record what the artifact</w:t>
      </w:r>
      <w:r>
        <w:t xml:space="preserve"> </w:t>
      </w:r>
      <w:r>
        <w:t xml:space="preserve">deliberately does not do. It does not rank models, score vendors, or certify</w:t>
      </w:r>
      <w:r>
        <w:t xml:space="preserve"> </w:t>
      </w:r>
      <w:r>
        <w:t xml:space="preserve">anything. It answers one narrow question, whether a forecast is entitled to the</w:t>
      </w:r>
      <w:r>
        <w:t xml:space="preserve"> </w:t>
      </w:r>
      <w:r>
        <w:t xml:space="preserve">numbers it reports, and it leaves the judgement of what to do about that with the</w:t>
      </w:r>
      <w:r>
        <w:t xml:space="preserve"> </w:t>
      </w:r>
      <w:r>
        <w:t xml:space="preserve">people accountable for the decision.</w:t>
      </w:r>
    </w:p>
    <w:bookmarkEnd w:id="51"/>
    <w:bookmarkEnd w:id="52"/>
    <w:bookmarkStart w:id="53"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admissibility argument is arithmetic and does not depend on the domain, but the</w:t>
      </w:r>
      <w:r>
        <w:t xml:space="preserve"> </w:t>
      </w:r>
      <w:r>
        <w:t xml:space="preserve">empirical demonstration does.</w:t>
      </w:r>
    </w:p>
    <w:p>
      <w:pPr>
        <w:pStyle w:val="BodyText"/>
      </w:pPr>
      <w:r>
        <w:t xml:space="preserve">The softmax guarantees the</w:t>
      </w:r>
      <w:r>
        <w:t xml:space="preserve"> </w:t>
      </w:r>
      <w:r>
        <w:t xml:space="preserve">forecast is arithmetically possible, which the uncoupled fits are not. It does not</w:t>
      </w:r>
      <w:r>
        <w:t xml:space="preserve"> </w:t>
      </w:r>
      <w:r>
        <w:t xml:space="preserve">make it observed. Every scale beyond 39.9M is extrapolation, and a</w:t>
      </w:r>
      <w:r>
        <w:t xml:space="preserve"> </w:t>
      </w:r>
      <w:r>
        <w:t xml:space="preserve">different admissible link would give different numbers.</w:t>
      </w:r>
    </w:p>
    <w:p>
      <w:pPr>
        <w:pStyle w:val="BodyText"/>
      </w:pPr>
      <w:r>
        <w:t xml:space="preserve">The replication supports</w:t>
      </w:r>
      <w:r>
        <w:t xml:space="preserve"> </w:t>
      </w:r>
      <w:r>
        <w:t xml:space="preserve">directional agreement on admissibility rather than a precise second estimate of any</w:t>
      </w:r>
      <w:r>
        <w:t xml:space="preserve"> </w:t>
      </w:r>
      <w:r>
        <w:t xml:space="preserve">exponent, and its coefficients carry correspondingly little precision.</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show the defect is forced and</w:t>
      </w:r>
      <w:r>
        <w:t xml:space="preserve"> </w:t>
      </w:r>
      <w:r>
        <w:t xml:space="preserve">demonstrate it on two families. We have not surveyed published decompositions to</w:t>
      </w:r>
      <w:r>
        <w:t xml:space="preserve"> </w:t>
      </w:r>
      <w:r>
        <w:t xml:space="preserve">establish how often forecasts are read beyond their breakdown scale, which is the</w:t>
      </w:r>
      <w:r>
        <w:t xml:space="preserve"> </w:t>
      </w:r>
      <w:r>
        <w:t xml:space="preserve">question a practitioner would most like answered.</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53"/>
    <w:bookmarkStart w:id="54"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admissible links, including the additive-logratio and</w:t>
      </w:r>
      <w:r>
        <w:t xml:space="preserve"> </w:t>
      </w:r>
      <w:r>
        <w:t xml:space="preserve">multinomial-logit families, on their out-of-range behaviour, so that an analyst</w:t>
      </w:r>
      <w:r>
        <w:t xml:space="preserve"> </w:t>
      </w:r>
      <w:r>
        <w:t xml:space="preserve">choosing among them has evidence rather than only the guarantee they share.</w:t>
      </w:r>
    </w:p>
    <w:p>
      <w:pPr>
        <w:pStyle w:val="BodyText"/>
      </w:pPr>
      <w:r>
        <w:t xml:space="preserve">Extend the independent replication to a family with more checkpoints, so</w:t>
      </w:r>
      <w:r>
        <w:t xml:space="preserve"> </w:t>
      </w:r>
      <w:r>
        <w:t xml:space="preserve">that admissibility can be tested against exponents estimated with usable precision</w:t>
      </w:r>
      <w:r>
        <w:t xml:space="preserve"> </w:t>
      </w:r>
      <w:r>
        <w:t xml:space="preserve">rather than only in direction.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54"/>
    <w:bookmarkStart w:id="55"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is used to decide where</w:t>
      </w:r>
      <w:r>
        <w:t xml:space="preserve"> </w:t>
      </w:r>
      <w:r>
        <w:t xml:space="preserve">money and attention go. We have shown that the forecast is inadmissible whenever the</w:t>
      </w:r>
      <w:r>
        <w:t xml:space="preserve"> </w:t>
      </w:r>
      <w:r>
        <w:t xml:space="preserve">fitted exponents differ, which is whenever the exercise is worth performing, and</w:t>
      </w:r>
      <w:r>
        <w:t xml:space="preserve"> </w:t>
      </w:r>
      <w:r>
        <w:t xml:space="preserve">that the scale at which it becomes so can be computed from the coefficients a study</w:t>
      </w:r>
      <w:r>
        <w:t xml:space="preserve"> </w:t>
      </w:r>
      <w:r>
        <w:t xml:space="preserve">already publishes. On our own measurements that scale was 174M</w:t>
      </w:r>
      <w:r>
        <w:t xml:space="preserve"> </w:t>
      </w:r>
      <w:r>
        <w:t xml:space="preserve">parameters and we had read a forecast at one billion; an independently trained</w:t>
      </w:r>
      <w:r>
        <w:t xml:space="preserve"> </w:t>
      </w:r>
      <w:r>
        <w:t xml:space="preserve">family breaks down at 243M. The remedy costs nothing, improving</w:t>
      </w:r>
      <w:r>
        <w:t xml:space="preserve"> </w:t>
      </w:r>
      <w:r>
        <w:t xml:space="preserve">in-range accuracy by 5.4%, and the diagnostic costs a function</w:t>
      </w:r>
      <w:r>
        <w:t xml:space="preserve"> </w:t>
      </w:r>
      <w:r>
        <w:t xml:space="preserve">call.</w:t>
      </w:r>
    </w:p>
    <w:p>
      <w:pPr>
        <w:pStyle w:val="BodyText"/>
      </w:pPr>
      <w:r>
        <w:t xml:space="preserve">The finding we would most want carried forward is the one we obtained by being</w:t>
      </w:r>
      <w:r>
        <w:t xml:space="preserve"> </w:t>
      </w:r>
      <w:r>
        <w:t xml:space="preserve">wrong. An inadmissible fit does not merely produce forecasts that are too confident;</w:t>
      </w:r>
      <w:r>
        <w:t xml:space="preserve"> </w:t>
      </w:r>
      <w:r>
        <w:t xml:space="preserve">it produces a model that cannot be contradicted by evidence, and so it silently</w:t>
      </w:r>
      <w:r>
        <w:t xml:space="preserve"> </w:t>
      </w:r>
      <w:r>
        <w:t xml:space="preserve">voids the negative conclusions drawn against it as well as the positive ones drawn</w:t>
      </w:r>
      <w:r>
        <w:t xml:space="preserve"> </w:t>
      </w:r>
      <w:r>
        <w:t xml:space="preserve">from it. We found this because a hypothesis we had rejected turned out to have been</w:t>
      </w:r>
      <w:r>
        <w:t xml:space="preserve"> </w:t>
      </w:r>
      <w:r>
        <w:t xml:space="preserve">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55"/>
    <w:bookmarkStart w:id="73" w:name="declarations"/>
    <w:p>
      <w:pPr>
        <w:pStyle w:val="Heading1"/>
      </w:pPr>
      <w:r>
        <w:t xml:space="preserve">Declarations</w:t>
      </w:r>
    </w:p>
    <w:bookmarkStart w:id="56" w:name="disclosure-statement."/>
    <w:p>
      <w:pPr>
        <w:pStyle w:val="Heading4"/>
      </w:pPr>
      <w:r>
        <w:t xml:space="preserve">Disclosure statement.</w:t>
      </w:r>
    </w:p>
    <w:p>
      <w:pPr>
        <w:pStyle w:val="FirstParagraph"/>
      </w:pPr>
      <w:r>
        <w:t xml:space="preserve">The authors report no conflict of interest.</w:t>
      </w:r>
    </w:p>
    <w:bookmarkEnd w:id="56"/>
    <w:bookmarkStart w:id="57" w:name="funding."/>
    <w:p>
      <w:pPr>
        <w:pStyle w:val="Heading4"/>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57"/>
    <w:bookmarkStart w:id="59" w:name="data-availability-statement."/>
    <w:p>
      <w:pPr>
        <w:pStyle w:val="Heading4"/>
      </w:pPr>
      <w:r>
        <w:t xml:space="preserve">Data availability statement.</w:t>
      </w:r>
    </w:p>
    <w:p>
      <w:pPr>
        <w:pStyle w:val="FirstParagraph"/>
      </w:pPr>
      <w:r>
        <w:t xml:space="preserve">The code, every results file, and the macro provenance record are available at</w:t>
      </w:r>
      <w:r>
        <w:t xml:space="preserve"> </w:t>
      </w:r>
      <w:hyperlink r:id="rId58">
        <w:r>
          <w:rPr>
            <w:rStyle w:val="Hyperlink"/>
          </w:rPr>
          <w:t xml:space="preserve">https://github.com/MohitPratapSinghRathore/content-rot</w:t>
        </w:r>
      </w:hyperlink>
      <w:r>
        <w:t xml:space="preserve">. The diagnostic</w:t>
      </w:r>
      <w:r>
        <w:t xml:space="preserve"> </w:t>
      </w:r>
      <w:r>
        <w:t xml:space="preserve">described here is</w:t>
      </w:r>
      <w:r>
        <w:t xml:space="preserve"> </w:t>
      </w:r>
      <w:r>
        <w:rPr>
          <w:rStyle w:val="VerbatimChar"/>
        </w:rPr>
        <w:t xml:space="preserve">code/closure_check.py</w:t>
      </w:r>
      <w:r>
        <w:t xml:space="preserve"> </w:t>
      </w:r>
      <w:r>
        <w:t xml:space="preserve">and the closed model is</w:t>
      </w:r>
      <w:r>
        <w:t xml:space="preserve"> </w:t>
      </w:r>
      <w:r>
        <w:rPr>
          <w:rStyle w:val="VerbatimChar"/>
        </w:rPr>
        <w:t xml:space="preserve">code/compositional.py</w:t>
      </w:r>
      <w:r>
        <w:t xml:space="preserve">.</w:t>
      </w:r>
    </w:p>
    <w:bookmarkEnd w:id="59"/>
    <w:bookmarkStart w:id="7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71" w:name="refs"/>
    <w:bookmarkStart w:id="61"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60">
        <w:r>
          <w:rPr>
            <w:rStyle w:val="Hyperlink"/>
          </w:rPr>
          <w:t xml:space="preserve">https://doi.org/10.25300/MISQ/2013/37.2.01</w:t>
        </w:r>
      </w:hyperlink>
      <w:r>
        <w:t xml:space="preserve">.</w:t>
      </w:r>
    </w:p>
    <w:bookmarkEnd w:id="61"/>
    <w:bookmarkStart w:id="63"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62">
        <w:r>
          <w:rPr>
            <w:rStyle w:val="Hyperlink"/>
          </w:rPr>
          <w:t xml:space="preserve">https://doi.org/10.2307/25148625</w:t>
        </w:r>
      </w:hyperlink>
      <w:r>
        <w:t xml:space="preserve">.</w:t>
      </w:r>
    </w:p>
    <w:bookmarkEnd w:id="63"/>
    <w:bookmarkStart w:id="64"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64"/>
    <w:bookmarkStart w:id="65"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65"/>
    <w:bookmarkStart w:id="66"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6"/>
    <w:bookmarkStart w:id="68"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67">
        <w:r>
          <w:rPr>
            <w:rStyle w:val="Hyperlink"/>
          </w:rPr>
          <w:t xml:space="preserve">https://doi.org/10.2753/MIS0742-1222240302</w:t>
        </w:r>
      </w:hyperlink>
      <w:r>
        <w:t xml:space="preserve">.</w:t>
      </w:r>
    </w:p>
    <w:bookmarkEnd w:id="68"/>
    <w:bookmarkStart w:id="69"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9"/>
    <w:bookmarkStart w:id="70"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70"/>
    <w:bookmarkEnd w:id="71"/>
    <w:bookmarkEnd w:id="72"/>
    <w:bookmarkEnd w:id="73"/>
    <w:sectPr>
      <w:footerReference w:type="default" r:id="rIdFooterAuto"/>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uto.xml><?xml version="1.0" encoding="utf-8"?>
<w:ftr xmlns:w="http://schemas.openxmlformats.org/wordprocessingml/2006/main">
  <w:p>
    <w:pP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s://doi.org/10.2307/25148625" TargetMode="External" /><Relationship Type="http://schemas.openxmlformats.org/officeDocument/2006/relationships/hyperlink" Id="rId60" Target="https://doi.org/10.25300/MISQ/2013/37.2.01" TargetMode="External" /><Relationship Type="http://schemas.openxmlformats.org/officeDocument/2006/relationships/hyperlink" Id="rId67" Target="https://doi.org/10.2753/MIS0742-1222240302" TargetMode="External" /><Relationship Type="http://schemas.openxmlformats.org/officeDocument/2006/relationships/hyperlink" Id="rId58" Target="https://github.com/MohitPratapSinghRathore/content-rot" TargetMode="External" /><Relationship Id="rIdFooterAuto" Type="http://schemas.openxmlformats.org/officeDocument/2006/relationships/footer" Target="footer-auto.xml"/></Relationships>
</file>

<file path=word/_rels/footnotes.xml.rels><?xml version="1.0" encoding="UTF-8"?><Relationships xmlns="http://schemas.openxmlformats.org/package/2006/relationships"><Relationship Type="http://schemas.openxmlformats.org/officeDocument/2006/relationships/hyperlink" Id="rId62" Target="https://doi.org/10.2307/25148625" TargetMode="External" /><Relationship Type="http://schemas.openxmlformats.org/officeDocument/2006/relationships/hyperlink" Id="rId60" Target="https://doi.org/10.25300/MISQ/2013/37.2.01" TargetMode="External" /><Relationship Type="http://schemas.openxmlformats.org/officeDocument/2006/relationships/hyperlink" Id="rId67" Target="https://doi.org/10.2753/MIS0742-1222240302" TargetMode="External" /><Relationship Type="http://schemas.openxmlformats.org/officeDocument/2006/relationships/hyperlink" Id="rId58" Target="https://github.com/MohitPratapSinghRathore/conten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Scaling Forecasts Are Inadmissible: A Diagnostic for Error Decompositions</dc:title>
  <dc:creator>Mohit Pratap Singh Rathore Oviqo Private Limited; Gunveer Sinh Kalsi Oviqo Private Limited; Sriharsha Meduri Oviqo Private Limited; Pratap Chandra Mandal Indian Institute of Management Shillong</dc:creator>
  <cp:keywords/>
  <dcterms:created xsi:type="dcterms:W3CDTF">2026-09-19T07:31:38Z</dcterms:created>
  <dcterms:modified xsi:type="dcterms:W3CDTF">2026-09-19T07:31:38Z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increasingly decide where to spend an artificial intelligence budget by asking which of a system’s failures the next model generation will remove on its own. The usual evidence is a decomposition: sort the errors into categories, fit a scaling curve to each, and read off which categories shrink fastest. We show this procedure is not merely noisy but inadmissible, and that the defect is structural rather than incidental. Because the categories partition the errors, their rates must sum to the total rate at every scale, and independently fitted curves cannot satisfy that identity once their exponents differ, which is the only reason to fit them separately. The largest category exponent necessarily exceeds the total’s, so the parts outgrow the whole and the forecast describes an impossibility beyond a computable scale. On our own measurements the parts reach 1.27 times the whole at one billion parameters and 2.82 times at one trillion. The threshold sits at 174M parameters, below the range our earlier analysis had forecast into. An independent model family reproduces the defect at 243M. We contribute a diagnostic that needs only the exponents a study already publishes, a closed remedy that fits the composition on the simplex and is 5.4% more accurate in range, and the finding that an inadmissible fit voids negative conclusions as well as forecasts, which we demonstrate by retracting one of our own. For managers the practical yield is a cheap, auditable test of whether a supplier’s roadmap claim is arithmetic or assertion.</vt:lpwstr>
  </property>
  <property fmtid="{D5CDD505-2E9C-101B-9397-08002B2CF9AE}" pid="3" name="bibliography">
    <vt:lpwstr/>
  </property>
  <property fmtid="{D5CDD505-2E9C-101B-9397-08002B2CF9AE}" pid="4" name="date">
    <vt:lpwstr/>
  </property>
</Properties>
</file>