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Lab 3: Component Modelling &amp; Architectural Pattern Selection</w:t>
      </w:r>
    </w:p>
    <w:p>
      <w:pPr>
        <w:spacing w:after="200"/>
        <w:jc w:val="center"/>
      </w:pPr>
      <w:r>
        <w:rPr>
          <w:i/>
          <w:iCs/>
          <w:color w:val="3A6EA5"/>
          <w:sz w:val="22"/>
          <w:szCs w:val="22"/>
        </w:rPr>
        <w:t xml:space="preserve">Architectural Justification — Problem Statement #13: Patient Health Record Consent Management 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shd w:fill="EEF4FB" w:val="clear"/>
          </w:tcPr>
          <w:p>
            <w:r>
              <w:rPr>
                <w:b/>
                <w:bCs/>
                <w:sz w:val="21"/>
                <w:szCs w:val="21"/>
              </w:rPr>
              <w:t xml:space="preserve">Name: Mohith N</w:t>
            </w:r>
          </w:p>
        </w:tc>
        <w:tc>
          <w:tcPr>
            <w:tcW w:type="dxa" w:w="5220"/>
            <w:shd w:fill="EEF4FB" w:val="clear"/>
          </w:tcPr>
          <w:p>
            <w:r>
              <w:rPr>
                <w:b/>
                <w:bCs/>
                <w:sz w:val="21"/>
                <w:szCs w:val="21"/>
              </w:rPr>
              <w:t xml:space="preserve">SRN: PES1UG24CS580</w:t>
            </w:r>
          </w:p>
        </w:tc>
      </w:tr>
    </w:tbl>
    <w:p>
      <w:pPr>
        <w:spacing w:after="160"/>
      </w:pPr>
    </w:p>
    <w:p>
      <w:pPr>
        <w:spacing w:after="160"/>
      </w:pPr>
      <w:r>
        <w:rPr>
          <w:b/>
          <w:bCs/>
          <w:sz w:val="22"/>
          <w:szCs w:val="22"/>
        </w:rPr>
        <w:t xml:space="preserve">Architecture Selection: </w:t>
      </w:r>
      <w:r>
        <w:rPr>
          <w:sz w:val="22"/>
          <w:szCs w:val="22"/>
        </w:rPr>
        <w:t xml:space="preserve">We chose Microservices Architecture for the Patient Health Record Consent Management System.</w:t>
      </w:r>
    </w:p>
    <w:p>
      <w:pPr>
        <w:spacing w:after="80"/>
      </w:pPr>
      <w:r>
        <w:rPr>
          <w:b/>
          <w:bCs/>
          <w:sz w:val="22"/>
          <w:szCs w:val="22"/>
        </w:rPr>
        <w:t xml:space="preserve">Reason 1 — Fault isolation around a security-critical boundary</w:t>
      </w:r>
    </w:p>
    <w:p>
      <w:pPr>
        <w:spacing w:after="160"/>
      </w:pPr>
      <w:r>
        <w:rPr>
          <w:sz w:val="22"/>
          <w:szCs w:val="22"/>
        </w:rPr>
        <w:t xml:space="preserve">Consent verification and audit logging are the two functions that must never fail silently in this system: FR-001 depends on consent state being checked correctly on every access, and NFR-001 requires every grant, revoke and access event to be permanently recorded. By running the Consent Management Service, the Clinic Access Gateway and the Audit Trail Service as independently deployable services, a fault or overload in a peripheral component (e.g. the Identity &amp; Verification Service during a certificate renewal) cannot bring down consent enforcement or audit writing. In a monolithic or purely layered design, a single crash or slow query anywhere in the business layer risks taking the entire system — including access control — down with it.</w:t>
      </w:r>
    </w:p>
    <w:p>
      <w:pPr>
        <w:spacing w:after="80"/>
      </w:pPr>
      <w:r>
        <w:rPr>
          <w:b/>
          <w:bCs/>
          <w:sz w:val="22"/>
          <w:szCs w:val="22"/>
        </w:rPr>
        <w:t xml:space="preserve">Reason 2 — Independent scalability for very different traffic patterns</w:t>
      </w:r>
    </w:p>
    <w:p>
      <w:pPr>
        <w:spacing w:after="160"/>
      </w:pPr>
      <w:r>
        <w:rPr>
          <w:sz w:val="22"/>
          <w:szCs w:val="22"/>
        </w:rPr>
        <w:t xml:space="preserve">Patient-side consent grants/revocations are infrequent and low-volume, clinic-side access checks are frequent and bursty (spiking around appointment slots), and audit writes are continuous but lightweight append operations. Microservices let each of these be scaled to its own load profile — for instance, the Clinic Access Gateway can be horizontally scaled during clinic hours without over-provisioning the Patient Consent Portal or the Audit Trail Service, which is not possible when all functionality shares one deployable unit, as in a layered or client-server style.</w:t>
      </w:r>
    </w:p>
    <w:p>
      <w:pPr>
        <w:spacing w:after="80"/>
      </w:pPr>
      <w:r>
        <w:rPr>
          <w:b/>
          <w:bCs/>
          <w:sz w:val="22"/>
          <w:szCs w:val="22"/>
        </w:rPr>
        <w:t xml:space="preserve">Security Advantage</w:t>
      </w:r>
    </w:p>
    <w:p>
      <w:pPr>
        <w:spacing w:after="160"/>
      </w:pPr>
      <w:r>
        <w:rPr>
          <w:sz w:val="22"/>
          <w:szCs w:val="22"/>
        </w:rPr>
        <w:t xml:space="preserve">Each microservice owns its own data store and exposes only a narrow, purpose-built interface. The Audit Trail Service, in particular, exposes only an append-only AuditLogInterface with no update or delete operation, and it is the sole writer to the audit data store. This means that even if the Clinic Access Gateway is compromised, an attacker cannot alter or erase the historical record of consent grants, revocations and accesses — directly satisfying NFR-001's requirement for a tamper-resistant, permanent audit trail.</w:t>
      </w:r>
    </w:p>
    <w:p>
      <w:pPr>
        <w:spacing w:after="80"/>
      </w:pPr>
      <w:r>
        <w:rPr>
          <w:b/>
          <w:bCs/>
          <w:sz w:val="22"/>
          <w:szCs w:val="22"/>
        </w:rPr>
        <w:t xml:space="preserve">Performance Benefit</w:t>
      </w:r>
    </w:p>
    <w:p>
      <w:pPr>
        <w:spacing w:after="0"/>
      </w:pPr>
      <w:r>
        <w:rPr>
          <w:sz w:val="22"/>
          <w:szCs w:val="22"/>
        </w:rPr>
        <w:t xml:space="preserve">Consent validation is a lightweight, read-heavy check performed on every single clinic access request, so the Consent Management Service can be scaled and cached independently of the much heavier Medical Records Repository queries. This keeps the time-bound access check in FR-001 fast and responsive even when the Medical Records Repository is under heavy load from large diagnostic-record retrievals, since the two workloads no longer contend for the same process or connection pool.</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2026-09-16T16:37:04.779Z</dcterms:created>
  <dcterms:modified xsi:type="dcterms:W3CDTF">2026-09-16T16:37:04.789Z</dcterms:modified>
</cp:coreProperties>
</file>

<file path=docProps/custom.xml><?xml version="1.0" encoding="utf-8"?>
<Properties xmlns="http://schemas.openxmlformats.org/officeDocument/2006/custom-properties" xmlns:vt="http://schemas.openxmlformats.org/officeDocument/2006/docPropsVTypes"/>
</file>