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Lab 1: Requirements Engineering &amp; UML Use-Case Modelling</w:t>
      </w:r>
    </w:p>
    <w:p>
      <w:pPr>
        <w:spacing w:after="40"/>
        <w:jc w:val="center"/>
      </w:pPr>
      <w:r>
        <w:rPr>
          <w:b/>
          <w:bCs/>
          <w:color w:val="1F3864"/>
          <w:sz w:val="24"/>
          <w:szCs w:val="24"/>
        </w:rPr>
        <w:t xml:space="preserve">Problem Statement #13 — Patient Health Record Consent Management System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Deliverable 1: Requirements Table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Student: </w:t>
      </w:r>
      <w:r>
        <w:rPr>
          <w:sz w:val="20"/>
          <w:szCs w:val="20"/>
        </w:rPr>
        <w:t xml:space="preserve">Mohith  </w:t>
      </w:r>
      <w:r>
        <w:rPr>
          <w:b/>
          <w:bCs/>
          <w:sz w:val="20"/>
          <w:szCs w:val="20"/>
        </w:rPr>
        <w:t xml:space="preserve">SRN: </w:t>
      </w:r>
      <w:r>
        <w:rPr>
          <w:sz w:val="20"/>
          <w:szCs w:val="20"/>
        </w:rPr>
        <w:t xml:space="preserve">PES1UG24CS580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Target Stakeholders / Actors: </w:t>
      </w:r>
      <w:r>
        <w:rPr>
          <w:sz w:val="20"/>
          <w:szCs w:val="20"/>
        </w:rPr>
        <w:t xml:space="preserve">Patient, Clinic Administrator, Clinic Doctor, Diagnostic Lab Technician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F3864"/>
          <w:sz w:val="22"/>
          <w:szCs w:val="22"/>
        </w:rPr>
        <w:t xml:space="preserve">Functional Requirements (FR-001 – FR-005)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"/>
        <w:gridCol w:w="1080"/>
        <w:gridCol w:w="3888"/>
        <w:gridCol w:w="864"/>
        <w:gridCol w:w="4320"/>
        <w:gridCol w:w="3456"/>
      </w:tblGrid>
      <w:tr>
        <w:trPr>
          <w:tblHeader/>
        </w:trPr>
        <w:tc>
          <w:tcPr>
            <w:tcW w:type="dxa" w:w="792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08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888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64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32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345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792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FR-001</w:t>
            </w:r>
          </w:p>
        </w:tc>
        <w:tc>
          <w:tcPr>
            <w:tcW w:type="dxa" w:w="108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Functional</w:t>
            </w:r>
          </w:p>
        </w:tc>
        <w:tc>
          <w:tcPr>
            <w:tcW w:type="dxa" w:w="3888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system shall allow patients to grant time-bounded (e.g., 24-hour) access permissions for specific diagnostic records to verified clinic doctors.</w:t>
            </w:r>
          </w:p>
        </w:tc>
        <w:tc>
          <w:tcPr>
            <w:tcW w:type="dxa" w:w="864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432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Pass: Clinic access automatically revokes upon expiry timestamp.
Fail: Clinic accesses records after consent expiration.</w:t>
            </w:r>
          </w:p>
        </w:tc>
        <w:tc>
          <w:tcPr>
            <w:tcW w:type="dxa" w:w="3456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Gives patients granular, time-limited control over who can view sensitive diagnostic data — the core patient-consent objective of the system.</w:t>
            </w:r>
          </w:p>
        </w:tc>
      </w:tr>
      <w:tr>
        <w:tc>
          <w:tcPr>
            <w:tcW w:type="dxa" w:w="792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FR-002</w:t>
            </w:r>
          </w:p>
        </w:tc>
        <w:tc>
          <w:tcPr>
            <w:tcW w:type="dxa" w:w="108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Functional</w:t>
            </w:r>
          </w:p>
        </w:tc>
        <w:tc>
          <w:tcPr>
            <w:tcW w:type="dxa" w:w="3888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system shall allow patients to revoke a previously granted consent at any time before its expiry, with the revocation taking immediate effect.</w:t>
            </w:r>
          </w:p>
        </w:tc>
        <w:tc>
          <w:tcPr>
            <w:tcW w:type="dxa" w:w="864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432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Pass: Access is blocked within 5 seconds of the revoke action and any active viewing session is terminated.
Fail: The clinic can still access the record after revocation.</w:t>
            </w:r>
          </w:p>
        </w:tc>
        <w:tc>
          <w:tcPr>
            <w:tcW w:type="dxa" w:w="3456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Preserves patient autonomy and upholds the right to withdraw consent at any time, a core data-protection principle.</w:t>
            </w:r>
          </w:p>
        </w:tc>
      </w:tr>
      <w:tr>
        <w:tc>
          <w:tcPr>
            <w:tcW w:type="dxa" w:w="792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FR-003</w:t>
            </w:r>
          </w:p>
        </w:tc>
        <w:tc>
          <w:tcPr>
            <w:tcW w:type="dxa" w:w="108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Functional</w:t>
            </w:r>
          </w:p>
        </w:tc>
        <w:tc>
          <w:tcPr>
            <w:tcW w:type="dxa" w:w="3888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system shall allow patients to view a chronological history of all consent grants, revocations, and record-access events linked to their account.</w:t>
            </w:r>
          </w:p>
        </w:tc>
        <w:tc>
          <w:tcPr>
            <w:tcW w:type="dxa" w:w="864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432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Pass: The patient dashboard lists every event with timestamp, actor, and action type, sorted newest first.
Fail: Any consent or access event is missing from the displayed history.</w:t>
            </w:r>
          </w:p>
        </w:tc>
        <w:tc>
          <w:tcPr>
            <w:tcW w:type="dxa" w:w="3456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Gives patients transparency into how and when their data has been accessed, building trust in the platform.</w:t>
            </w:r>
          </w:p>
        </w:tc>
      </w:tr>
      <w:tr>
        <w:tc>
          <w:tcPr>
            <w:tcW w:type="dxa" w:w="792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FR-004</w:t>
            </w:r>
          </w:p>
        </w:tc>
        <w:tc>
          <w:tcPr>
            <w:tcW w:type="dxa" w:w="108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Functional</w:t>
            </w:r>
          </w:p>
        </w:tc>
        <w:tc>
          <w:tcPr>
            <w:tcW w:type="dxa" w:w="3888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system shall require clinic doctors and diagnostic-lab technicians to be verified by a Clinic Administrator (e.g., license/ID check) before they can appear as eligible recipients in a patient's consent grant.</w:t>
            </w:r>
          </w:p>
        </w:tc>
        <w:tc>
          <w:tcPr>
            <w:tcW w:type="dxa" w:w="864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432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Pass: An unverified staff account cannot be selected in a patient's consent-grant workflow.
Fail: A patient is able to grant consent to an unverified staff account.</w:t>
            </w:r>
          </w:p>
        </w:tc>
        <w:tc>
          <w:tcPr>
            <w:tcW w:type="dxa" w:w="3456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Prevents unauthorized or fraudulent parties from gaining access to sensitive health records.</w:t>
            </w:r>
          </w:p>
        </w:tc>
      </w:tr>
      <w:tr>
        <w:tc>
          <w:tcPr>
            <w:tcW w:type="dxa" w:w="792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FR-005</w:t>
            </w:r>
          </w:p>
        </w:tc>
        <w:tc>
          <w:tcPr>
            <w:tcW w:type="dxa" w:w="108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Functional</w:t>
            </w:r>
          </w:p>
        </w:tc>
        <w:tc>
          <w:tcPr>
            <w:tcW w:type="dxa" w:w="3888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system shall allow a verified clinic doctor to request emergency (“break-glass”) override access to a patient's records without prior consent, subject to a mandatory justification note and automatic patient notification.</w:t>
            </w:r>
          </w:p>
        </w:tc>
        <w:tc>
          <w:tcPr>
            <w:tcW w:type="dxa" w:w="864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4320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Pass: Every override request captures a justification reason, notifies the patient within 1 hour, and is flagged separately in the audit trail.
Fail: Override access is granted without a justification note or patient notification.</w:t>
            </w:r>
          </w:p>
        </w:tc>
        <w:tc>
          <w:tcPr>
            <w:tcW w:type="dxa" w:w="3456"/>
            <w:shd w:fill="F2F6F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Balances strict privacy controls with the need for timely access to records during genuine medical emergencies.</w:t>
            </w:r>
          </w:p>
        </w:tc>
      </w:tr>
    </w:tbl>
    <w:p>
      <w:pPr>
        <w:spacing w:after="80" w:before="240"/>
      </w:pPr>
      <w:r>
        <w:rPr>
          <w:b/>
          <w:bCs/>
          <w:color w:val="1F3864"/>
          <w:sz w:val="22"/>
          <w:szCs w:val="22"/>
        </w:rPr>
        <w:t xml:space="preserve">Non-Functional Requirements (NFR-001 – NFR-002)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"/>
        <w:gridCol w:w="1080"/>
        <w:gridCol w:w="3888"/>
        <w:gridCol w:w="864"/>
        <w:gridCol w:w="4320"/>
        <w:gridCol w:w="3456"/>
      </w:tblGrid>
      <w:tr>
        <w:trPr>
          <w:tblHeader/>
        </w:trPr>
        <w:tc>
          <w:tcPr>
            <w:tcW w:type="dxa" w:w="792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08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888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64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32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345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792"/>
            <w:shd w:fill="FCEE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NFR-001</w:t>
            </w:r>
          </w:p>
        </w:tc>
        <w:tc>
          <w:tcPr>
            <w:tcW w:type="dxa" w:w="1080"/>
            <w:shd w:fill="FCEE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Performance &amp; Security</w:t>
            </w:r>
          </w:p>
        </w:tc>
        <w:tc>
          <w:tcPr>
            <w:tcW w:type="dxa" w:w="3888"/>
            <w:shd w:fill="FCEE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All consent grant, revoke, and access events shall be permanently written to an append-only audit trail.</w:t>
            </w:r>
          </w:p>
        </w:tc>
        <w:tc>
          <w:tcPr>
            <w:tcW w:type="dxa" w:w="864"/>
            <w:shd w:fill="FCEE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4320"/>
            <w:shd w:fill="FCEE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Pass: Benchmarking tests confirm target latency and security standards under simulated peak load.</w:t>
            </w:r>
          </w:p>
        </w:tc>
        <w:tc>
          <w:tcPr>
            <w:tcW w:type="dxa" w:w="3456"/>
            <w:shd w:fill="FCEE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Creates a tamper-evident record of every consent and access decision, essential for regulatory compliance and dispute resolution.</w:t>
            </w:r>
          </w:p>
        </w:tc>
      </w:tr>
      <w:tr>
        <w:tc>
          <w:tcPr>
            <w:tcW w:type="dxa" w:w="792"/>
            <w:shd w:fill="FCEE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NFR-002</w:t>
            </w:r>
          </w:p>
        </w:tc>
        <w:tc>
          <w:tcPr>
            <w:tcW w:type="dxa" w:w="1080"/>
            <w:shd w:fill="FCEE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Security</w:t>
            </w:r>
          </w:p>
        </w:tc>
        <w:tc>
          <w:tcPr>
            <w:tcW w:type="dxa" w:w="3888"/>
            <w:shd w:fill="FCEE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system shall encrypt all patient health records and consent metadata at rest and in transit using industry-standard encryption (e.g., AES-256 at rest, TLS 1.2+ in transit).</w:t>
            </w:r>
          </w:p>
        </w:tc>
        <w:tc>
          <w:tcPr>
            <w:tcW w:type="dxa" w:w="864"/>
            <w:shd w:fill="FCEE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4320"/>
            <w:shd w:fill="FCEE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Pass: A security scan confirms every stored record is encrypted at rest and all API traffic uses TLS 1.2 or higher.
Fail: Any record is found stored or transmitted without encryption.</w:t>
            </w:r>
          </w:p>
        </w:tc>
        <w:tc>
          <w:tcPr>
            <w:tcW w:type="dxa" w:w="3456"/>
            <w:shd w:fill="FCEE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Protects highly sensitive medical data from exposure in the event of a breach or interception, in line with healthcare data-protection norms.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2026-08-25T09:21:08.593Z</dcterms:created>
  <dcterms:modified xsi:type="dcterms:W3CDTF">2026-08-25T09:21:08.593Z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