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6B52"/>
          <w:sz w:val="20"/>
        </w:rPr>
        <w:t>FRAUDOPS</w:t>
      </w:r>
    </w:p>
    <w:p>
      <w:pPr>
        <w:pStyle w:val="Title"/>
      </w:pPr>
      <w:r>
        <w:t>Agent System Design</w:t>
      </w:r>
    </w:p>
    <w:p>
      <w:r>
        <w:rPr>
          <w:color w:val="6B7280"/>
          <w:sz w:val="24"/>
        </w:rPr>
        <w:t>Agentic investigation architecture, orchestration, state, tools, guardrails, and human handoff</w:t>
      </w:r>
    </w:p>
    <w:p>
      <w:r>
        <w:rPr>
          <w:i/>
          <w:color w:val="6B7280"/>
        </w:rPr>
        <w:t>Locked baseline • 30 September 2026</w:t>
      </w:r>
    </w:p>
    <w:tbl>
      <w:tblPr>
        <w:tblW w:type="auto" w:w="0"/>
        <w:jc w:val="center"/>
        <w:tblLayout w:type="autofit"/>
        <w:tblLook w:firstColumn="1" w:firstRow="1" w:lastColumn="0" w:lastRow="0" w:noHBand="0" w:noVBand="1" w:val="04A0"/>
      </w:tblPr>
      <w:tblGrid>
        <w:gridCol w:w="10166"/>
      </w:tblGrid>
      <w:tr>
        <w:tc>
          <w:tcPr>
            <w:tcW w:type="dxa" w:w="10166"/>
            <w:shd w:fill="EAF3FA"/>
            <w:tcBorders>
              <w:top w:sz="6" w:val="single" w:color="D1D5DB"/>
              <w:left w:sz="6" w:val="single" w:color="D1D5DB"/>
              <w:bottom w:sz="6" w:val="single" w:color="D1D5DB"/>
              <w:right w:sz="6" w:val="single" w:color="D1D5DB"/>
            </w:tcBorders>
          </w:tcPr>
          <w:p>
            <w:r>
              <w:rPr>
                <w:b/>
                <w:color w:val="0B3A66"/>
              </w:rPr>
              <w:t xml:space="preserve">DESIGN PRINCIPLE  </w:t>
            </w:r>
            <w:r>
              <w:rPr>
                <w:color w:val="1F2937"/>
              </w:rPr>
              <w:t>Use deterministic software for deterministic fraud calculations; use agents for investigation orchestration, evidence synthesis, and decision support.</w:t>
            </w:r>
          </w:p>
        </w:tc>
      </w:tr>
    </w:tbl>
    <w:p/>
    <w:p>
      <w:pPr>
        <w:pStyle w:val="Heading1"/>
      </w:pPr>
      <w:r>
        <w:t>1. Purpose</w:t>
      </w:r>
    </w:p>
    <w:p>
      <w:r>
        <w:t>This document defines the agentic layer of FraudOps. It complements the deterministic rule engine and documents how the system automatically investigates high-risk transactions, gathers evidence, identifies related activity, prepares a case, and recommends a response while keeping consequential financial decisions under human control.</w:t>
      </w:r>
    </w:p>
    <w:p>
      <w:pPr>
        <w:pStyle w:val="Heading1"/>
      </w:pPr>
      <w:r>
        <w:t>2. Why the Agent Layer Exists</w:t>
      </w:r>
    </w:p>
    <w:p>
      <w:r>
        <w:t>The mandatory rule engine answers: “Which risk indicators were triggered?” The agent layer answers the operational question: “What should we investigate, what evidence matters, what is connected, and what should the reviewer see next?”</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0B3A66"/>
            <w:vAlign w:val="center"/>
          </w:tcPr>
          <w:p>
            <w:r>
              <w:rPr>
                <w:b/>
                <w:color w:val="FFFFFF"/>
                <w:sz w:val="18"/>
              </w:rPr>
              <w:t>System Layer</w:t>
            </w:r>
          </w:p>
        </w:tc>
        <w:tc>
          <w:tcPr>
            <w:tcW w:type="dxa" w:w="5040"/>
            <w:shd w:fill="0B3A66"/>
            <w:vAlign w:val="center"/>
          </w:tcPr>
          <w:p>
            <w:r>
              <w:rPr>
                <w:b/>
                <w:color w:val="FFFFFF"/>
                <w:sz w:val="18"/>
              </w:rPr>
              <w:t>Primary Responsibility</w:t>
            </w:r>
          </w:p>
        </w:tc>
        <w:tc>
          <w:tcPr>
            <w:tcW w:type="dxa" w:w="2304"/>
            <w:shd w:fill="0B3A66"/>
            <w:vAlign w:val="center"/>
          </w:tcPr>
          <w:p>
            <w:r>
              <w:rPr>
                <w:b/>
                <w:color w:val="FFFFFF"/>
                <w:sz w:val="18"/>
              </w:rPr>
              <w:t>Use LLM/Agent?</w:t>
            </w:r>
          </w:p>
        </w:tc>
      </w:tr>
      <w:tr>
        <w:tc>
          <w:tcPr>
            <w:tcW w:type="dxa" w:w="2160"/>
            <w:vAlign w:val="top"/>
          </w:tcPr>
          <w:p>
            <w:r>
              <w:rPr>
                <w:sz w:val="17"/>
              </w:rPr>
              <w:t>Rule Engine</w:t>
            </w:r>
          </w:p>
        </w:tc>
        <w:tc>
          <w:tcPr>
            <w:tcW w:type="dxa" w:w="5040"/>
            <w:vAlign w:val="top"/>
          </w:tcPr>
          <w:p>
            <w:r>
              <w:rPr>
                <w:sz w:val="17"/>
              </w:rPr>
              <w:t>Deterministic fraud rules and calculations</w:t>
            </w:r>
          </w:p>
        </w:tc>
        <w:tc>
          <w:tcPr>
            <w:tcW w:type="dxa" w:w="2304"/>
            <w:vAlign w:val="top"/>
          </w:tcPr>
          <w:p>
            <w:r>
              <w:rPr>
                <w:sz w:val="17"/>
              </w:rPr>
              <w:t>No</w:t>
            </w:r>
          </w:p>
        </w:tc>
      </w:tr>
      <w:tr>
        <w:tc>
          <w:tcPr>
            <w:tcW w:type="dxa" w:w="2160"/>
            <w:vAlign w:val="top"/>
          </w:tcPr>
          <w:p>
            <w:r>
              <w:rPr>
                <w:sz w:val="17"/>
              </w:rPr>
              <w:t>Context Engine</w:t>
            </w:r>
          </w:p>
        </w:tc>
        <w:tc>
          <w:tcPr>
            <w:tcW w:type="dxa" w:w="5040"/>
            <w:vAlign w:val="top"/>
          </w:tcPr>
          <w:p>
            <w:r>
              <w:rPr>
                <w:sz w:val="17"/>
              </w:rPr>
              <w:t>Customer/merchant/business context</w:t>
            </w:r>
          </w:p>
        </w:tc>
        <w:tc>
          <w:tcPr>
            <w:tcW w:type="dxa" w:w="2304"/>
            <w:vAlign w:val="top"/>
          </w:tcPr>
          <w:p>
            <w:r>
              <w:rPr>
                <w:sz w:val="17"/>
              </w:rPr>
              <w:t>Mostly no</w:t>
            </w:r>
          </w:p>
        </w:tc>
      </w:tr>
      <w:tr>
        <w:tc>
          <w:tcPr>
            <w:tcW w:type="dxa" w:w="2160"/>
            <w:vAlign w:val="top"/>
          </w:tcPr>
          <w:p>
            <w:r>
              <w:rPr>
                <w:sz w:val="17"/>
              </w:rPr>
              <w:t>Risk Engine</w:t>
            </w:r>
          </w:p>
        </w:tc>
        <w:tc>
          <w:tcPr>
            <w:tcW w:type="dxa" w:w="5040"/>
            <w:vAlign w:val="top"/>
          </w:tcPr>
          <w:p>
            <w:r>
              <w:rPr>
                <w:sz w:val="17"/>
              </w:rPr>
              <w:t>Aggregate and classify risk signals</w:t>
            </w:r>
          </w:p>
        </w:tc>
        <w:tc>
          <w:tcPr>
            <w:tcW w:type="dxa" w:w="2304"/>
            <w:vAlign w:val="top"/>
          </w:tcPr>
          <w:p>
            <w:r>
              <w:rPr>
                <w:sz w:val="17"/>
              </w:rPr>
              <w:t>No</w:t>
            </w:r>
          </w:p>
        </w:tc>
      </w:tr>
      <w:tr>
        <w:tc>
          <w:tcPr>
            <w:tcW w:type="dxa" w:w="2160"/>
            <w:vAlign w:val="top"/>
          </w:tcPr>
          <w:p>
            <w:r>
              <w:rPr>
                <w:sz w:val="17"/>
              </w:rPr>
              <w:t>Investigation Orchestrator</w:t>
            </w:r>
          </w:p>
        </w:tc>
        <w:tc>
          <w:tcPr>
            <w:tcW w:type="dxa" w:w="5040"/>
            <w:vAlign w:val="top"/>
          </w:tcPr>
          <w:p>
            <w:r>
              <w:rPr>
                <w:sz w:val="17"/>
              </w:rPr>
              <w:t>Choose and sequence investigation steps</w:t>
            </w:r>
          </w:p>
        </w:tc>
        <w:tc>
          <w:tcPr>
            <w:tcW w:type="dxa" w:w="2304"/>
            <w:vAlign w:val="top"/>
          </w:tcPr>
          <w:p>
            <w:r>
              <w:rPr>
                <w:sz w:val="17"/>
              </w:rPr>
              <w:t>Yes, controlled</w:t>
            </w:r>
          </w:p>
        </w:tc>
      </w:tr>
      <w:tr>
        <w:tc>
          <w:tcPr>
            <w:tcW w:type="dxa" w:w="2160"/>
            <w:vAlign w:val="top"/>
          </w:tcPr>
          <w:p>
            <w:r>
              <w:rPr>
                <w:sz w:val="17"/>
              </w:rPr>
              <w:t>Evidence Builder</w:t>
            </w:r>
          </w:p>
        </w:tc>
        <w:tc>
          <w:tcPr>
            <w:tcW w:type="dxa" w:w="5040"/>
            <w:vAlign w:val="top"/>
          </w:tcPr>
          <w:p>
            <w:r>
              <w:rPr>
                <w:sz w:val="17"/>
              </w:rPr>
              <w:t>Assemble structured evidence and human-readable narrative</w:t>
            </w:r>
          </w:p>
        </w:tc>
        <w:tc>
          <w:tcPr>
            <w:tcW w:type="dxa" w:w="2304"/>
            <w:vAlign w:val="top"/>
          </w:tcPr>
          <w:p>
            <w:r>
              <w:rPr>
                <w:sz w:val="17"/>
              </w:rPr>
              <w:t>Optional LLM assistance</w:t>
            </w:r>
          </w:p>
        </w:tc>
      </w:tr>
      <w:tr>
        <w:tc>
          <w:tcPr>
            <w:tcW w:type="dxa" w:w="2160"/>
            <w:vAlign w:val="top"/>
          </w:tcPr>
          <w:p>
            <w:r>
              <w:rPr>
                <w:sz w:val="17"/>
              </w:rPr>
              <w:t>Recommendation Agent</w:t>
            </w:r>
          </w:p>
        </w:tc>
        <w:tc>
          <w:tcPr>
            <w:tcW w:type="dxa" w:w="5040"/>
            <w:vAlign w:val="top"/>
          </w:tcPr>
          <w:p>
            <w:r>
              <w:rPr>
                <w:sz w:val="17"/>
              </w:rPr>
              <w:t>Recommend next operational action with reasons</w:t>
            </w:r>
          </w:p>
        </w:tc>
        <w:tc>
          <w:tcPr>
            <w:tcW w:type="dxa" w:w="2304"/>
            <w:vAlign w:val="top"/>
          </w:tcPr>
          <w:p>
            <w:r>
              <w:rPr>
                <w:sz w:val="17"/>
              </w:rPr>
              <w:t>Yes, controlled</w:t>
            </w:r>
          </w:p>
        </w:tc>
      </w:tr>
      <w:tr>
        <w:tc>
          <w:tcPr>
            <w:tcW w:type="dxa" w:w="2160"/>
            <w:vAlign w:val="top"/>
          </w:tcPr>
          <w:p>
            <w:r>
              <w:rPr>
                <w:sz w:val="17"/>
              </w:rPr>
              <w:t>Reviewer Console</w:t>
            </w:r>
          </w:p>
        </w:tc>
        <w:tc>
          <w:tcPr>
            <w:tcW w:type="dxa" w:w="5040"/>
            <w:vAlign w:val="top"/>
          </w:tcPr>
          <w:p>
            <w:r>
              <w:rPr>
                <w:sz w:val="17"/>
              </w:rPr>
              <w:t>Human decision and case resolution</w:t>
            </w:r>
          </w:p>
        </w:tc>
        <w:tc>
          <w:tcPr>
            <w:tcW w:type="dxa" w:w="2304"/>
            <w:vAlign w:val="top"/>
          </w:tcPr>
          <w:p>
            <w:r>
              <w:rPr>
                <w:sz w:val="17"/>
              </w:rPr>
              <w:t>No</w:t>
            </w:r>
          </w:p>
        </w:tc>
      </w:tr>
    </w:tbl>
    <w:p>
      <w:r/>
    </w:p>
    <w:p>
      <w:pPr>
        <w:pStyle w:val="Heading1"/>
        <w:pageBreakBefore/>
      </w:pPr>
      <w:r>
        <w:t>3. Agent Architecture</w:t>
      </w:r>
    </w:p>
    <w:tbl>
      <w:tblPr>
        <w:tblW w:type="auto" w:w="0"/>
        <w:jc w:val="center"/>
        <w:tblLook w:firstColumn="1" w:firstRow="1" w:lastColumn="0" w:lastRow="0" w:noHBand="0" w:noVBand="1" w:val="04A0"/>
      </w:tblPr>
      <w:tblGrid>
        <w:gridCol w:w="10166"/>
      </w:tblGrid>
      <w:tr>
        <w:tc>
          <w:tcPr>
            <w:tcW w:type="dxa" w:w="10166"/>
            <w:shd w:fill="F7F7F7"/>
            <w:tcBorders>
              <w:top w:sz="4" w:val="single" w:color="D9D9D9"/>
              <w:left w:sz="4" w:val="single" w:color="D9D9D9"/>
              <w:bottom w:sz="4" w:val="single" w:color="D9D9D9"/>
              <w:right w:sz="4" w:val="single" w:color="D9D9D9"/>
            </w:tcBorders>
          </w:tcPr>
          <w:p>
            <w:r>
              <w:rPr>
                <w:rFonts w:ascii="Consolas" w:hAnsi="Consolas"/>
                <w:color w:val="1F2937"/>
                <w:sz w:val="17"/>
              </w:rPr>
              <w:t xml:space="preserve">                         HIGH / CRITICAL CASE</w:t>
              <w:br/>
            </w:r>
            <w:r>
              <w:rPr>
                <w:rFonts w:ascii="Consolas" w:hAnsi="Consolas"/>
                <w:color w:val="1F2937"/>
                <w:sz w:val="17"/>
              </w:rPr>
              <w:t xml:space="preserve">                                  │</w:t>
              <w:br/>
            </w:r>
            <w:r>
              <w:rPr>
                <w:rFonts w:ascii="Consolas" w:hAnsi="Consolas"/>
                <w:color w:val="1F2937"/>
                <w:sz w:val="17"/>
              </w:rPr>
              <w:t xml:space="preserve">                                  ▼</w:t>
              <w:br/>
            </w:r>
            <w:r>
              <w:rPr>
                <w:rFonts w:ascii="Consolas" w:hAnsi="Consolas"/>
                <w:color w:val="1F2937"/>
                <w:sz w:val="17"/>
              </w:rPr>
              <w:t xml:space="preserve">                   ┌─────────────────────────────┐</w:t>
              <w:br/>
            </w:r>
            <w:r>
              <w:rPr>
                <w:rFonts w:ascii="Consolas" w:hAnsi="Consolas"/>
                <w:color w:val="1F2937"/>
                <w:sz w:val="17"/>
              </w:rPr>
              <w:t xml:space="preserve">                   │ INVESTIGATION ORCHESTRATOR │</w:t>
              <w:br/>
            </w:r>
            <w:r>
              <w:rPr>
                <w:rFonts w:ascii="Consolas" w:hAnsi="Consolas"/>
                <w:color w:val="1F2937"/>
                <w:sz w:val="17"/>
              </w:rPr>
              <w:t xml:space="preserve">                   │          AGENT             │</w:t>
              <w:br/>
            </w:r>
            <w:r>
              <w:rPr>
                <w:rFonts w:ascii="Consolas" w:hAnsi="Consolas"/>
                <w:color w:val="1F2937"/>
                <w:sz w:val="17"/>
              </w:rPr>
              <w:t xml:space="preserve">                   └──────────────┬──────────────┘</w:t>
              <w:br/>
            </w:r>
            <w:r>
              <w:rPr>
                <w:rFonts w:ascii="Consolas" w:hAnsi="Consolas"/>
                <w:color w:val="1F2937"/>
                <w:sz w:val="17"/>
              </w:rPr>
              <w:t xml:space="preserve">                                  │</w:t>
              <w:br/>
            </w:r>
            <w:r>
              <w:rPr>
                <w:rFonts w:ascii="Consolas" w:hAnsi="Consolas"/>
                <w:color w:val="1F2937"/>
                <w:sz w:val="17"/>
              </w:rPr>
              <w:t xml:space="preserve">              ┌───────────────────┼───────────────────┐</w:t>
              <w:br/>
            </w:r>
            <w:r>
              <w:rPr>
                <w:rFonts w:ascii="Consolas" w:hAnsi="Consolas"/>
                <w:color w:val="1F2937"/>
                <w:sz w:val="17"/>
              </w:rPr>
              <w:t xml:space="preserve">              ▼                   ▼                   ▼</w:t>
              <w:br/>
            </w:r>
            <w:r>
              <w:rPr>
                <w:rFonts w:ascii="Consolas" w:hAnsi="Consolas"/>
                <w:color w:val="1F2937"/>
                <w:sz w:val="17"/>
              </w:rPr>
              <w:t xml:space="preserve">      Behavioral Analysis   Business Context   Relationship Analysis</w:t>
              <w:br/>
            </w:r>
            <w:r>
              <w:rPr>
                <w:rFonts w:ascii="Consolas" w:hAnsi="Consolas"/>
                <w:color w:val="1F2937"/>
                <w:sz w:val="17"/>
              </w:rPr>
              <w:t xml:space="preserve">              │                   │                   │</w:t>
              <w:br/>
            </w:r>
            <w:r>
              <w:rPr>
                <w:rFonts w:ascii="Consolas" w:hAnsi="Consolas"/>
                <w:color w:val="1F2937"/>
                <w:sz w:val="17"/>
              </w:rPr>
              <w:t xml:space="preserve">              └───────────────────┼───────────────────┘</w:t>
              <w:br/>
            </w:r>
            <w:r>
              <w:rPr>
                <w:rFonts w:ascii="Consolas" w:hAnsi="Consolas"/>
                <w:color w:val="1F2937"/>
                <w:sz w:val="17"/>
              </w:rPr>
              <w:t xml:space="preserve">                                  ▼</w:t>
              <w:br/>
            </w:r>
            <w:r>
              <w:rPr>
                <w:rFonts w:ascii="Consolas" w:hAnsi="Consolas"/>
                <w:color w:val="1F2937"/>
                <w:sz w:val="17"/>
              </w:rPr>
              <w:t xml:space="preserve">                        ┌──────────────────┐</w:t>
              <w:br/>
            </w:r>
            <w:r>
              <w:rPr>
                <w:rFonts w:ascii="Consolas" w:hAnsi="Consolas"/>
                <w:color w:val="1F2937"/>
                <w:sz w:val="17"/>
              </w:rPr>
              <w:t xml:space="preserve">                        │ EVIDENCE BUILDER │</w:t>
              <w:br/>
            </w:r>
            <w:r>
              <w:rPr>
                <w:rFonts w:ascii="Consolas" w:hAnsi="Consolas"/>
                <w:color w:val="1F2937"/>
                <w:sz w:val="17"/>
              </w:rPr>
              <w:t xml:space="preserve">                        └─────────┬────────┘</w:t>
              <w:br/>
            </w:r>
            <w:r>
              <w:rPr>
                <w:rFonts w:ascii="Consolas" w:hAnsi="Consolas"/>
                <w:color w:val="1F2937"/>
                <w:sz w:val="17"/>
              </w:rPr>
              <w:t xml:space="preserve">                                  ▼</w:t>
              <w:br/>
            </w:r>
            <w:r>
              <w:rPr>
                <w:rFonts w:ascii="Consolas" w:hAnsi="Consolas"/>
                <w:color w:val="1F2937"/>
                <w:sz w:val="17"/>
              </w:rPr>
              <w:t xml:space="preserve">                        ┌──────────────────┐</w:t>
              <w:br/>
            </w:r>
            <w:r>
              <w:rPr>
                <w:rFonts w:ascii="Consolas" w:hAnsi="Consolas"/>
                <w:color w:val="1F2937"/>
                <w:sz w:val="17"/>
              </w:rPr>
              <w:t xml:space="preserve">                        │ RECOMMENDATION   │</w:t>
              <w:br/>
            </w:r>
            <w:r>
              <w:rPr>
                <w:rFonts w:ascii="Consolas" w:hAnsi="Consolas"/>
                <w:color w:val="1F2937"/>
                <w:sz w:val="17"/>
              </w:rPr>
              <w:t xml:space="preserve">                        │      AGENT       │</w:t>
              <w:br/>
            </w:r>
            <w:r>
              <w:rPr>
                <w:rFonts w:ascii="Consolas" w:hAnsi="Consolas"/>
                <w:color w:val="1F2937"/>
                <w:sz w:val="17"/>
              </w:rPr>
              <w:t xml:space="preserve">                        └─────────┬────────┘</w:t>
              <w:br/>
            </w:r>
            <w:r>
              <w:rPr>
                <w:rFonts w:ascii="Consolas" w:hAnsi="Consolas"/>
                <w:color w:val="1F2937"/>
                <w:sz w:val="17"/>
              </w:rPr>
              <w:t xml:space="preserve">                                  ▼</w:t>
              <w:br/>
            </w:r>
            <w:r>
              <w:rPr>
                <w:rFonts w:ascii="Consolas" w:hAnsi="Consolas"/>
                <w:color w:val="1F2937"/>
                <w:sz w:val="17"/>
              </w:rPr>
              <w:t xml:space="preserve">                             FRAUD CASE</w:t>
              <w:br/>
            </w:r>
            <w:r>
              <w:rPr>
                <w:rFonts w:ascii="Consolas" w:hAnsi="Consolas"/>
                <w:color w:val="1F2937"/>
                <w:sz w:val="17"/>
              </w:rPr>
              <w:t xml:space="preserve">                                  │</w:t>
              <w:br/>
            </w:r>
            <w:r>
              <w:rPr>
                <w:rFonts w:ascii="Consolas" w:hAnsi="Consolas"/>
                <w:color w:val="1F2937"/>
                <w:sz w:val="17"/>
              </w:rPr>
              <w:t xml:space="preserve">                                  ▼</w:t>
              <w:br/>
            </w:r>
            <w:r>
              <w:rPr>
                <w:rFonts w:ascii="Consolas" w:hAnsi="Consolas"/>
                <w:color w:val="1F2937"/>
                <w:sz w:val="17"/>
              </w:rPr>
              <w:t xml:space="preserve">                           HUMAN REVIEWER</w:t>
            </w:r>
          </w:p>
        </w:tc>
      </w:tr>
    </w:tbl>
    <w:p/>
    <w:p>
      <w:pPr>
        <w:pStyle w:val="Heading1"/>
      </w:pPr>
      <w:r>
        <w:t>4. Investigation Orchestrator</w:t>
      </w:r>
    </w:p>
    <w:p>
      <w:r>
        <w:t>The Investigation Orchestrator is the central agent. It does not calculate fraud rules itself. It receives structured risk signals and decides which investigation capabilities to call, in what order, and when the evidence is sufficient to form a case.</w:t>
      </w:r>
    </w:p>
    <w:p>
      <w:pPr>
        <w:pStyle w:val="ListBullet"/>
      </w:pPr>
      <w:r>
        <w:t>Start an investigation only for configured high/critical risk cases or explicit reviewer requests.</w:t>
      </w:r>
    </w:p>
    <w:p>
      <w:pPr>
        <w:pStyle w:val="ListBullet"/>
      </w:pPr>
      <w:r>
        <w:t>Inspect the current evidence and determine which investigation checks are still missing.</w:t>
      </w:r>
    </w:p>
    <w:p>
      <w:pPr>
        <w:pStyle w:val="ListBullet"/>
      </w:pPr>
      <w:r>
        <w:t>Call approved tools such as customer history, merchant profile, relationship lookup, and prior case lookup.</w:t>
      </w:r>
    </w:p>
    <w:p>
      <w:pPr>
        <w:pStyle w:val="ListBullet"/>
      </w:pPr>
      <w:r>
        <w:t>Maintain investigation state so the workflow can resume after an individual step fails.</w:t>
      </w:r>
    </w:p>
    <w:p>
      <w:pPr>
        <w:pStyle w:val="ListBullet"/>
      </w:pPr>
      <w:r>
        <w:t>Stop when the investigation reaches a configured evidence threshold, when human intervention is required, or when a safety rule blocks further automation.</w:t>
      </w:r>
    </w:p>
    <w:p>
      <w:pPr>
        <w:pStyle w:val="Heading1"/>
      </w:pPr>
      <w:r>
        <w:t>5. Investigation Capabilities</w:t>
      </w:r>
    </w:p>
    <w:p>
      <w:pPr>
        <w:pStyle w:val="Heading2"/>
      </w:pPr>
      <w:r>
        <w:t>5.1 Behavioral Analysis</w:t>
      </w:r>
    </w:p>
    <w:p>
      <w:r>
        <w:t>Determines whether the transaction is abnormal for the customer using historical transaction patterns.</w:t>
      </w:r>
    </w:p>
    <w:p>
      <w:pPr>
        <w:pStyle w:val="ListBullet"/>
      </w:pPr>
      <w:r>
        <w:t>Typical transaction amount and frequency</w:t>
      </w:r>
    </w:p>
    <w:p>
      <w:pPr>
        <w:pStyle w:val="ListBullet"/>
      </w:pPr>
      <w:r>
        <w:t>Recent change from baseline behavior</w:t>
      </w:r>
    </w:p>
    <w:p>
      <w:pPr>
        <w:pStyle w:val="ListBullet"/>
      </w:pPr>
      <w:r>
        <w:t>Previous fraud/review outcomes</w:t>
      </w:r>
    </w:p>
    <w:p>
      <w:pPr>
        <w:pStyle w:val="ListBullet"/>
      </w:pPr>
      <w:r>
        <w:t>Recent velocity and spending bursts</w:t>
      </w:r>
    </w:p>
    <w:p>
      <w:pPr>
        <w:pStyle w:val="Heading2"/>
      </w:pPr>
      <w:r>
        <w:t>5.2 Business Context Analysis</w:t>
      </w:r>
    </w:p>
    <w:p>
      <w:r>
        <w:t>Determines whether the transaction is economically plausible for the merchant and business category.</w:t>
      </w:r>
    </w:p>
    <w:tbl>
      <w:tblPr>
        <w:tblW w:type="auto" w:w="0"/>
        <w:jc w:val="center"/>
        <w:tblLook w:firstColumn="1" w:firstRow="1" w:lastColumn="0" w:lastRow="0" w:noHBand="0" w:noVBand="1" w:val="04A0"/>
      </w:tblPr>
      <w:tblGrid>
        <w:gridCol w:w="10166"/>
      </w:tblGrid>
      <w:tr>
        <w:tc>
          <w:tcPr>
            <w:tcW w:type="dxa" w:w="10166"/>
            <w:shd w:fill="F7F7F7"/>
            <w:tcBorders>
              <w:top w:sz="4" w:val="single" w:color="D9D9D9"/>
              <w:left w:sz="4" w:val="single" w:color="D9D9D9"/>
              <w:bottom w:sz="4" w:val="single" w:color="D9D9D9"/>
              <w:right w:sz="4" w:val="single" w:color="D9D9D9"/>
            </w:tcBorders>
          </w:tcPr>
          <w:p>
            <w:r>
              <w:rPr>
                <w:rFonts w:ascii="Consolas" w:hAnsi="Consolas"/>
                <w:color w:val="1F2937"/>
                <w:sz w:val="17"/>
              </w:rPr>
              <w:t>Example:</w:t>
              <w:br/>
            </w:r>
            <w:r>
              <w:rPr>
                <w:rFonts w:ascii="Consolas" w:hAnsi="Consolas"/>
                <w:color w:val="1F2937"/>
                <w:sz w:val="17"/>
              </w:rPr>
              <w:t>₹10,00,000 → Gold merchant → potentially plausible</w:t>
              <w:br/>
            </w:r>
            <w:r>
              <w:rPr>
                <w:rFonts w:ascii="Consolas" w:hAnsi="Consolas"/>
                <w:color w:val="1F2937"/>
                <w:sz w:val="17"/>
              </w:rPr>
              <w:t>₹10,00,000 → Fuel station → highly anomalous</w:t>
              <w:br/>
            </w:r>
            <w:r>
              <w:rPr>
                <w:rFonts w:ascii="Consolas" w:hAnsi="Consolas"/>
                <w:color w:val="1F2937"/>
                <w:sz w:val="17"/>
              </w:rPr>
              <w:br/>
            </w:r>
            <w:r>
              <w:rPr>
                <w:rFonts w:ascii="Consolas" w:hAnsi="Consolas"/>
                <w:color w:val="1F2937"/>
                <w:sz w:val="17"/>
              </w:rPr>
              <w:t>Decision is based on merchant/category history, not a global amount threshold.</w:t>
            </w:r>
          </w:p>
        </w:tc>
      </w:tr>
    </w:tbl>
    <w:p/>
    <w:p>
      <w:pPr>
        <w:pStyle w:val="ListBullet"/>
      </w:pPr>
      <w:r>
        <w:t>Merchant category and subcategory</w:t>
      </w:r>
    </w:p>
    <w:p>
      <w:pPr>
        <w:pStyle w:val="ListBullet"/>
      </w:pPr>
      <w:r>
        <w:t>Typical ticket size / percentile bands</w:t>
      </w:r>
    </w:p>
    <w:p>
      <w:pPr>
        <w:pStyle w:val="ListBullet"/>
      </w:pPr>
      <w:r>
        <w:t>Historical transaction distribution</w:t>
      </w:r>
    </w:p>
    <w:p>
      <w:pPr>
        <w:pStyle w:val="ListBullet"/>
      </w:pPr>
      <w:r>
        <w:t>Operating hours and transaction type</w:t>
      </w:r>
    </w:p>
    <w:p>
      <w:pPr>
        <w:pStyle w:val="ListBullet"/>
      </w:pPr>
      <w:r>
        <w:t>Merchant-level transaction volume and anomalies</w:t>
      </w:r>
    </w:p>
    <w:p>
      <w:pPr>
        <w:pStyle w:val="Heading2"/>
      </w:pPr>
      <w:r>
        <w:t>5.3 Relationship Analysis</w:t>
      </w:r>
    </w:p>
    <w:p>
      <w:r>
        <w:t>Finds suspicious connections between transactions and entities.</w:t>
      </w:r>
    </w:p>
    <w:p>
      <w:pPr>
        <w:pStyle w:val="ListBullet"/>
      </w:pPr>
      <w:r>
        <w:t>Shared device</w:t>
      </w:r>
    </w:p>
    <w:p>
      <w:pPr>
        <w:pStyle w:val="ListBullet"/>
      </w:pPr>
      <w:r>
        <w:t>Shared IP address</w:t>
      </w:r>
    </w:p>
    <w:p>
      <w:pPr>
        <w:pStyle w:val="ListBullet"/>
      </w:pPr>
      <w:r>
        <w:t>Shared account attributes</w:t>
      </w:r>
    </w:p>
    <w:p>
      <w:pPr>
        <w:pStyle w:val="ListBullet"/>
      </w:pPr>
      <w:r>
        <w:t>Common merchant</w:t>
      </w:r>
    </w:p>
    <w:p>
      <w:pPr>
        <w:pStyle w:val="ListBullet"/>
      </w:pPr>
      <w:r>
        <w:t>Unusual location overlap</w:t>
      </w:r>
    </w:p>
    <w:p>
      <w:pPr>
        <w:pStyle w:val="ListBullet"/>
      </w:pPr>
      <w:r>
        <w:t>Temporal clustering of related transactions</w:t>
      </w:r>
    </w:p>
    <w:p>
      <w:pPr>
        <w:pStyle w:val="Heading2"/>
      </w:pPr>
      <w:r>
        <w:t>5.4 Evidence Builder</w:t>
      </w:r>
    </w:p>
    <w:p>
      <w:r>
        <w:t>Converts structured investigation results into an evidence pack. Every narrative statement should reference a stored fact or calculation.</w:t>
      </w:r>
    </w:p>
    <w:tbl>
      <w:tblPr>
        <w:tblW w:type="auto" w:w="0"/>
        <w:jc w:val="center"/>
        <w:tblLook w:firstColumn="1" w:firstRow="1" w:lastColumn="0" w:lastRow="0" w:noHBand="0" w:noVBand="1" w:val="04A0"/>
      </w:tblPr>
      <w:tblGrid>
        <w:gridCol w:w="10166"/>
      </w:tblGrid>
      <w:tr>
        <w:tc>
          <w:tcPr>
            <w:tcW w:type="dxa" w:w="10166"/>
            <w:shd w:fill="F7F7F7"/>
            <w:tcBorders>
              <w:top w:sz="4" w:val="single" w:color="D9D9D9"/>
              <w:left w:sz="4" w:val="single" w:color="D9D9D9"/>
              <w:bottom w:sz="4" w:val="single" w:color="D9D9D9"/>
              <w:right w:sz="4" w:val="single" w:color="D9D9D9"/>
            </w:tcBorders>
          </w:tcPr>
          <w:p>
            <w:r>
              <w:rPr>
                <w:rFonts w:ascii="Consolas" w:hAnsi="Consolas"/>
                <w:color w:val="1F2937"/>
                <w:sz w:val="17"/>
              </w:rPr>
              <w:t>Evidence Pack</w:t>
              <w:br/>
            </w:r>
            <w:r>
              <w:rPr>
                <w:rFonts w:ascii="Consolas" w:hAnsi="Consolas"/>
                <w:color w:val="1F2937"/>
                <w:sz w:val="17"/>
              </w:rPr>
              <w:t>- Amount anomaly: 25.4x customer average</w:t>
              <w:br/>
            </w:r>
            <w:r>
              <w:rPr>
                <w:rFonts w:ascii="Consolas" w:hAnsi="Consolas"/>
                <w:color w:val="1F2937"/>
                <w:sz w:val="17"/>
              </w:rPr>
              <w:t>- Merchant anomaly: above merchant P99</w:t>
              <w:br/>
            </w:r>
            <w:r>
              <w:rPr>
                <w:rFonts w:ascii="Consolas" w:hAnsi="Consolas"/>
                <w:color w:val="1F2937"/>
                <w:sz w:val="17"/>
              </w:rPr>
              <w:t>- Velocity: 7 txns in 9 minutes</w:t>
              <w:br/>
            </w:r>
            <w:r>
              <w:rPr>
                <w:rFonts w:ascii="Consolas" w:hAnsi="Consolas"/>
                <w:color w:val="1F2937"/>
                <w:sz w:val="17"/>
              </w:rPr>
              <w:t>- Relationship: device shared by 2 flagged accounts</w:t>
              <w:br/>
            </w:r>
            <w:r>
              <w:rPr>
                <w:rFonts w:ascii="Consolas" w:hAnsi="Consolas"/>
                <w:color w:val="1F2937"/>
                <w:sz w:val="17"/>
              </w:rPr>
              <w:t>- Geo anomaly: Hyderabad → London in 22 minutes</w:t>
            </w:r>
          </w:p>
        </w:tc>
      </w:tr>
    </w:tbl>
    <w:p/>
    <w:p>
      <w:pPr>
        <w:pStyle w:val="Heading2"/>
      </w:pPr>
      <w:r>
        <w:t>5.5 Recommendation Agent</w:t>
      </w:r>
    </w:p>
    <w:p>
      <w:r>
        <w:t>Produces an operational recommendation from the collected evidence. Recommendations are advisory and do not directly execute irreversible financial actions.</w:t>
      </w:r>
    </w:p>
    <w:tbl>
      <w:tblPr>
        <w:tblStyle w:val="TableGrid"/>
        <w:tblW w:type="auto" w:w="0"/>
        <w:jc w:val="center"/>
        <w:tblLook w:firstColumn="1" w:firstRow="1" w:lastColumn="0" w:lastRow="0" w:noHBand="0" w:noVBand="1" w:val="04A0"/>
      </w:tblPr>
      <w:tblGrid>
        <w:gridCol w:w="5083"/>
        <w:gridCol w:w="5083"/>
      </w:tblGrid>
      <w:tr>
        <w:tc>
          <w:tcPr>
            <w:tcW w:type="dxa" w:w="2736"/>
            <w:shd w:fill="0B3A66"/>
            <w:vAlign w:val="center"/>
          </w:tcPr>
          <w:p>
            <w:r>
              <w:rPr>
                <w:b/>
                <w:color w:val="FFFFFF"/>
                <w:sz w:val="18"/>
              </w:rPr>
              <w:t>Recommendation</w:t>
            </w:r>
          </w:p>
        </w:tc>
        <w:tc>
          <w:tcPr>
            <w:tcW w:type="dxa" w:w="6768"/>
            <w:shd w:fill="0B3A66"/>
            <w:vAlign w:val="center"/>
          </w:tcPr>
          <w:p>
            <w:r>
              <w:rPr>
                <w:b/>
                <w:color w:val="FFFFFF"/>
                <w:sz w:val="18"/>
              </w:rPr>
              <w:t>Meaning</w:t>
            </w:r>
          </w:p>
        </w:tc>
      </w:tr>
      <w:tr>
        <w:tc>
          <w:tcPr>
            <w:tcW w:type="dxa" w:w="2736"/>
            <w:vAlign w:val="top"/>
          </w:tcPr>
          <w:p>
            <w:r>
              <w:rPr>
                <w:sz w:val="17"/>
              </w:rPr>
              <w:t>ALLOW</w:t>
            </w:r>
          </w:p>
        </w:tc>
        <w:tc>
          <w:tcPr>
            <w:tcW w:type="dxa" w:w="6768"/>
            <w:vAlign w:val="top"/>
          </w:tcPr>
          <w:p>
            <w:r>
              <w:rPr>
                <w:sz w:val="17"/>
              </w:rPr>
              <w:t>No immediate fraud action recommended</w:t>
            </w:r>
          </w:p>
        </w:tc>
      </w:tr>
      <w:tr>
        <w:tc>
          <w:tcPr>
            <w:tcW w:type="dxa" w:w="2736"/>
            <w:vAlign w:val="top"/>
          </w:tcPr>
          <w:p>
            <w:r>
              <w:rPr>
                <w:sz w:val="17"/>
              </w:rPr>
              <w:t>MONITOR</w:t>
            </w:r>
          </w:p>
        </w:tc>
        <w:tc>
          <w:tcPr>
            <w:tcW w:type="dxa" w:w="6768"/>
            <w:vAlign w:val="top"/>
          </w:tcPr>
          <w:p>
            <w:r>
              <w:rPr>
                <w:sz w:val="17"/>
              </w:rPr>
              <w:t>Continue observation without urgent review</w:t>
            </w:r>
          </w:p>
        </w:tc>
      </w:tr>
      <w:tr>
        <w:tc>
          <w:tcPr>
            <w:tcW w:type="dxa" w:w="2736"/>
            <w:vAlign w:val="top"/>
          </w:tcPr>
          <w:p>
            <w:r>
              <w:rPr>
                <w:sz w:val="17"/>
              </w:rPr>
              <w:t>HOLD_FOR_REVIEW</w:t>
            </w:r>
          </w:p>
        </w:tc>
        <w:tc>
          <w:tcPr>
            <w:tcW w:type="dxa" w:w="6768"/>
            <w:vAlign w:val="top"/>
          </w:tcPr>
          <w:p>
            <w:r>
              <w:rPr>
                <w:sz w:val="17"/>
              </w:rPr>
              <w:t>Reviewer should make the next decision</w:t>
            </w:r>
          </w:p>
        </w:tc>
      </w:tr>
      <w:tr>
        <w:tc>
          <w:tcPr>
            <w:tcW w:type="dxa" w:w="2736"/>
            <w:vAlign w:val="top"/>
          </w:tcPr>
          <w:p>
            <w:r>
              <w:rPr>
                <w:sz w:val="17"/>
              </w:rPr>
              <w:t>ESCALATE</w:t>
            </w:r>
          </w:p>
        </w:tc>
        <w:tc>
          <w:tcPr>
            <w:tcW w:type="dxa" w:w="6768"/>
            <w:vAlign w:val="top"/>
          </w:tcPr>
          <w:p>
            <w:r>
              <w:rPr>
                <w:sz w:val="17"/>
              </w:rPr>
              <w:t>Send the case to a higher-priority fraud workflow</w:t>
            </w:r>
          </w:p>
        </w:tc>
      </w:tr>
    </w:tbl>
    <w:p/>
    <w:p>
      <w:pPr>
        <w:pStyle w:val="Heading1"/>
      </w:pPr>
      <w:r>
        <w:t>6. Agent State Model</w:t>
      </w:r>
    </w:p>
    <w:p>
      <w:r>
        <w:t>The investigation must be stateful. A state record makes the workflow reproducible, auditable, and restartable after failures.</w:t>
      </w:r>
    </w:p>
    <w:tbl>
      <w:tblPr>
        <w:tblStyle w:val="TableGrid"/>
        <w:tblW w:type="auto" w:w="0"/>
        <w:jc w:val="center"/>
        <w:tblLook w:firstColumn="1" w:firstRow="1" w:lastColumn="0" w:lastRow="0" w:noHBand="0" w:noVBand="1" w:val="04A0"/>
      </w:tblPr>
      <w:tblGrid>
        <w:gridCol w:w="5083"/>
        <w:gridCol w:w="5083"/>
      </w:tblGrid>
      <w:tr>
        <w:tc>
          <w:tcPr>
            <w:tcW w:type="dxa" w:w="2592"/>
            <w:shd w:fill="0B3A66"/>
            <w:vAlign w:val="center"/>
          </w:tcPr>
          <w:p>
            <w:r>
              <w:rPr>
                <w:b/>
                <w:color w:val="FFFFFF"/>
                <w:sz w:val="18"/>
              </w:rPr>
              <w:t>State Field</w:t>
            </w:r>
          </w:p>
        </w:tc>
        <w:tc>
          <w:tcPr>
            <w:tcW w:type="dxa" w:w="6768"/>
            <w:shd w:fill="0B3A66"/>
            <w:vAlign w:val="center"/>
          </w:tcPr>
          <w:p>
            <w:r>
              <w:rPr>
                <w:b/>
                <w:color w:val="FFFFFF"/>
                <w:sz w:val="18"/>
              </w:rPr>
              <w:t>Purpose</w:t>
            </w:r>
          </w:p>
        </w:tc>
      </w:tr>
      <w:tr>
        <w:tc>
          <w:tcPr>
            <w:tcW w:type="dxa" w:w="2592"/>
            <w:vAlign w:val="top"/>
          </w:tcPr>
          <w:p>
            <w:r>
              <w:rPr>
                <w:sz w:val="17"/>
              </w:rPr>
              <w:t>investigation_id</w:t>
            </w:r>
          </w:p>
        </w:tc>
        <w:tc>
          <w:tcPr>
            <w:tcW w:type="dxa" w:w="6768"/>
            <w:vAlign w:val="top"/>
          </w:tcPr>
          <w:p>
            <w:r>
              <w:rPr>
                <w:sz w:val="17"/>
              </w:rPr>
              <w:t>Unique investigation instance</w:t>
            </w:r>
          </w:p>
        </w:tc>
      </w:tr>
      <w:tr>
        <w:tc>
          <w:tcPr>
            <w:tcW w:type="dxa" w:w="2592"/>
            <w:vAlign w:val="top"/>
          </w:tcPr>
          <w:p>
            <w:r>
              <w:rPr>
                <w:sz w:val="17"/>
              </w:rPr>
              <w:t>case_id / transaction_id</w:t>
            </w:r>
          </w:p>
        </w:tc>
        <w:tc>
          <w:tcPr>
            <w:tcW w:type="dxa" w:w="6768"/>
            <w:vAlign w:val="top"/>
          </w:tcPr>
          <w:p>
            <w:r>
              <w:rPr>
                <w:sz w:val="17"/>
              </w:rPr>
              <w:t>Object being investigated</w:t>
            </w:r>
          </w:p>
        </w:tc>
      </w:tr>
      <w:tr>
        <w:tc>
          <w:tcPr>
            <w:tcW w:type="dxa" w:w="2592"/>
            <w:vAlign w:val="top"/>
          </w:tcPr>
          <w:p>
            <w:r>
              <w:rPr>
                <w:sz w:val="17"/>
              </w:rPr>
              <w:t>status</w:t>
            </w:r>
          </w:p>
        </w:tc>
        <w:tc>
          <w:tcPr>
            <w:tcW w:type="dxa" w:w="6768"/>
            <w:vAlign w:val="top"/>
          </w:tcPr>
          <w:p>
            <w:r>
              <w:rPr>
                <w:sz w:val="17"/>
              </w:rPr>
              <w:t>RUNNING / WAITING_HUMAN / COMPLETED / FAILED</w:t>
            </w:r>
          </w:p>
        </w:tc>
      </w:tr>
      <w:tr>
        <w:tc>
          <w:tcPr>
            <w:tcW w:type="dxa" w:w="2592"/>
            <w:vAlign w:val="top"/>
          </w:tcPr>
          <w:p>
            <w:r>
              <w:rPr>
                <w:sz w:val="17"/>
              </w:rPr>
              <w:t>current_step</w:t>
            </w:r>
          </w:p>
        </w:tc>
        <w:tc>
          <w:tcPr>
            <w:tcW w:type="dxa" w:w="6768"/>
            <w:vAlign w:val="top"/>
          </w:tcPr>
          <w:p>
            <w:r>
              <w:rPr>
                <w:sz w:val="17"/>
              </w:rPr>
              <w:t>Current investigation node</w:t>
            </w:r>
          </w:p>
        </w:tc>
      </w:tr>
      <w:tr>
        <w:tc>
          <w:tcPr>
            <w:tcW w:type="dxa" w:w="2592"/>
            <w:vAlign w:val="top"/>
          </w:tcPr>
          <w:p>
            <w:r>
              <w:rPr>
                <w:sz w:val="17"/>
              </w:rPr>
              <w:t>completed_checks</w:t>
            </w:r>
          </w:p>
        </w:tc>
        <w:tc>
          <w:tcPr>
            <w:tcW w:type="dxa" w:w="6768"/>
            <w:vAlign w:val="top"/>
          </w:tcPr>
          <w:p>
            <w:r>
              <w:rPr>
                <w:sz w:val="17"/>
              </w:rPr>
              <w:t>Checks already executed</w:t>
            </w:r>
          </w:p>
        </w:tc>
      </w:tr>
      <w:tr>
        <w:tc>
          <w:tcPr>
            <w:tcW w:type="dxa" w:w="2592"/>
            <w:vAlign w:val="top"/>
          </w:tcPr>
          <w:p>
            <w:r>
              <w:rPr>
                <w:sz w:val="17"/>
              </w:rPr>
              <w:t>risk_signals</w:t>
            </w:r>
          </w:p>
        </w:tc>
        <w:tc>
          <w:tcPr>
            <w:tcW w:type="dxa" w:w="6768"/>
            <w:vAlign w:val="top"/>
          </w:tcPr>
          <w:p>
            <w:r>
              <w:rPr>
                <w:sz w:val="17"/>
              </w:rPr>
              <w:t>Structured rule/context results</w:t>
            </w:r>
          </w:p>
        </w:tc>
      </w:tr>
      <w:tr>
        <w:tc>
          <w:tcPr>
            <w:tcW w:type="dxa" w:w="2592"/>
            <w:vAlign w:val="top"/>
          </w:tcPr>
          <w:p>
            <w:r>
              <w:rPr>
                <w:sz w:val="17"/>
              </w:rPr>
              <w:t>evidence_refs</w:t>
            </w:r>
          </w:p>
        </w:tc>
        <w:tc>
          <w:tcPr>
            <w:tcW w:type="dxa" w:w="6768"/>
            <w:vAlign w:val="top"/>
          </w:tcPr>
          <w:p>
            <w:r>
              <w:rPr>
                <w:sz w:val="17"/>
              </w:rPr>
              <w:t>Pointers to stored evidence</w:t>
            </w:r>
          </w:p>
        </w:tc>
      </w:tr>
      <w:tr>
        <w:tc>
          <w:tcPr>
            <w:tcW w:type="dxa" w:w="2592"/>
            <w:vAlign w:val="top"/>
          </w:tcPr>
          <w:p>
            <w:r>
              <w:rPr>
                <w:sz w:val="17"/>
              </w:rPr>
              <w:t>agent_findings</w:t>
            </w:r>
          </w:p>
        </w:tc>
        <w:tc>
          <w:tcPr>
            <w:tcW w:type="dxa" w:w="6768"/>
            <w:vAlign w:val="top"/>
          </w:tcPr>
          <w:p>
            <w:r>
              <w:rPr>
                <w:sz w:val="17"/>
              </w:rPr>
              <w:t>Structured investigation observations</w:t>
            </w:r>
          </w:p>
        </w:tc>
      </w:tr>
      <w:tr>
        <w:tc>
          <w:tcPr>
            <w:tcW w:type="dxa" w:w="2592"/>
            <w:vAlign w:val="top"/>
          </w:tcPr>
          <w:p>
            <w:r>
              <w:rPr>
                <w:sz w:val="17"/>
              </w:rPr>
              <w:t>recommendation</w:t>
            </w:r>
          </w:p>
        </w:tc>
        <w:tc>
          <w:tcPr>
            <w:tcW w:type="dxa" w:w="6768"/>
            <w:vAlign w:val="top"/>
          </w:tcPr>
          <w:p>
            <w:r>
              <w:rPr>
                <w:sz w:val="17"/>
              </w:rPr>
              <w:t>Final advisory action</w:t>
            </w:r>
          </w:p>
        </w:tc>
      </w:tr>
      <w:tr>
        <w:tc>
          <w:tcPr>
            <w:tcW w:type="dxa" w:w="2592"/>
            <w:vAlign w:val="top"/>
          </w:tcPr>
          <w:p>
            <w:r>
              <w:rPr>
                <w:sz w:val="17"/>
              </w:rPr>
              <w:t>human_decision</w:t>
            </w:r>
          </w:p>
        </w:tc>
        <w:tc>
          <w:tcPr>
            <w:tcW w:type="dxa" w:w="6768"/>
            <w:vAlign w:val="top"/>
          </w:tcPr>
          <w:p>
            <w:r>
              <w:rPr>
                <w:sz w:val="17"/>
              </w:rPr>
              <w:t>Reviewer outcome when available</w:t>
            </w:r>
          </w:p>
        </w:tc>
      </w:tr>
      <w:tr>
        <w:tc>
          <w:tcPr>
            <w:tcW w:type="dxa" w:w="2592"/>
            <w:vAlign w:val="top"/>
          </w:tcPr>
          <w:p>
            <w:r>
              <w:rPr>
                <w:sz w:val="17"/>
              </w:rPr>
              <w:t>timestamps</w:t>
            </w:r>
          </w:p>
        </w:tc>
        <w:tc>
          <w:tcPr>
            <w:tcW w:type="dxa" w:w="6768"/>
            <w:vAlign w:val="top"/>
          </w:tcPr>
          <w:p>
            <w:r>
              <w:rPr>
                <w:sz w:val="17"/>
              </w:rPr>
              <w:t>Started/completed/checkpoint times</w:t>
            </w:r>
          </w:p>
        </w:tc>
      </w:tr>
    </w:tbl>
    <w:p/>
    <w:p>
      <w:pPr>
        <w:pStyle w:val="Heading1"/>
      </w:pPr>
      <w:r>
        <w:t>7. Agent Tools</w:t>
      </w:r>
    </w:p>
    <w:p>
      <w:r>
        <w:t>Agents access the system through narrow, approved tools instead of arbitrary database access. Tools return structured data and preserve the source record identifiers used as evidence.</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0B3A66"/>
            <w:vAlign w:val="center"/>
          </w:tcPr>
          <w:p>
            <w:r>
              <w:rPr>
                <w:b/>
                <w:color w:val="FFFFFF"/>
                <w:sz w:val="18"/>
              </w:rPr>
              <w:t>Tool</w:t>
            </w:r>
          </w:p>
        </w:tc>
        <w:tc>
          <w:tcPr>
            <w:tcW w:type="dxa" w:w="2880"/>
            <w:shd w:fill="0B3A66"/>
            <w:vAlign w:val="center"/>
          </w:tcPr>
          <w:p>
            <w:r>
              <w:rPr>
                <w:b/>
                <w:color w:val="FFFFFF"/>
                <w:sz w:val="18"/>
              </w:rPr>
              <w:t>Input</w:t>
            </w:r>
          </w:p>
        </w:tc>
        <w:tc>
          <w:tcPr>
            <w:tcW w:type="dxa" w:w="3600"/>
            <w:shd w:fill="0B3A66"/>
            <w:vAlign w:val="center"/>
          </w:tcPr>
          <w:p>
            <w:r>
              <w:rPr>
                <w:b/>
                <w:color w:val="FFFFFF"/>
                <w:sz w:val="18"/>
              </w:rPr>
              <w:t>Output</w:t>
            </w:r>
          </w:p>
        </w:tc>
      </w:tr>
      <w:tr>
        <w:tc>
          <w:tcPr>
            <w:tcW w:type="dxa" w:w="2880"/>
            <w:vAlign w:val="top"/>
          </w:tcPr>
          <w:p>
            <w:r>
              <w:rPr>
                <w:sz w:val="17"/>
              </w:rPr>
              <w:t>get_customer_history</w:t>
            </w:r>
          </w:p>
        </w:tc>
        <w:tc>
          <w:tcPr>
            <w:tcW w:type="dxa" w:w="2880"/>
            <w:vAlign w:val="top"/>
          </w:tcPr>
          <w:p>
            <w:r>
              <w:rPr>
                <w:sz w:val="17"/>
              </w:rPr>
              <w:t>customer_id, time_window</w:t>
            </w:r>
          </w:p>
        </w:tc>
        <w:tc>
          <w:tcPr>
            <w:tcW w:type="dxa" w:w="3600"/>
            <w:vAlign w:val="top"/>
          </w:tcPr>
          <w:p>
            <w:r>
              <w:rPr>
                <w:sz w:val="17"/>
              </w:rPr>
              <w:t>transactions, baseline metrics</w:t>
            </w:r>
          </w:p>
        </w:tc>
      </w:tr>
      <w:tr>
        <w:tc>
          <w:tcPr>
            <w:tcW w:type="dxa" w:w="2880"/>
            <w:vAlign w:val="top"/>
          </w:tcPr>
          <w:p>
            <w:r>
              <w:rPr>
                <w:sz w:val="17"/>
              </w:rPr>
              <w:t>get_merchant_profile</w:t>
            </w:r>
          </w:p>
        </w:tc>
        <w:tc>
          <w:tcPr>
            <w:tcW w:type="dxa" w:w="2880"/>
            <w:vAlign w:val="top"/>
          </w:tcPr>
          <w:p>
            <w:r>
              <w:rPr>
                <w:sz w:val="17"/>
              </w:rPr>
              <w:t>merchant_id</w:t>
            </w:r>
          </w:p>
        </w:tc>
        <w:tc>
          <w:tcPr>
            <w:tcW w:type="dxa" w:w="3600"/>
            <w:vAlign w:val="top"/>
          </w:tcPr>
          <w:p>
            <w:r>
              <w:rPr>
                <w:sz w:val="17"/>
              </w:rPr>
              <w:t>category, percentiles, volume, hours</w:t>
            </w:r>
          </w:p>
        </w:tc>
      </w:tr>
      <w:tr>
        <w:tc>
          <w:tcPr>
            <w:tcW w:type="dxa" w:w="2880"/>
            <w:vAlign w:val="top"/>
          </w:tcPr>
          <w:p>
            <w:r>
              <w:rPr>
                <w:sz w:val="17"/>
              </w:rPr>
              <w:t>get_recent_transactions</w:t>
            </w:r>
          </w:p>
        </w:tc>
        <w:tc>
          <w:tcPr>
            <w:tcW w:type="dxa" w:w="2880"/>
            <w:vAlign w:val="top"/>
          </w:tcPr>
          <w:p>
            <w:r>
              <w:rPr>
                <w:sz w:val="17"/>
              </w:rPr>
              <w:t>customer_id / merchant_id, window</w:t>
            </w:r>
          </w:p>
        </w:tc>
        <w:tc>
          <w:tcPr>
            <w:tcW w:type="dxa" w:w="3600"/>
            <w:vAlign w:val="top"/>
          </w:tcPr>
          <w:p>
            <w:r>
              <w:rPr>
                <w:sz w:val="17"/>
              </w:rPr>
              <w:t>recent transaction set</w:t>
            </w:r>
          </w:p>
        </w:tc>
      </w:tr>
      <w:tr>
        <w:tc>
          <w:tcPr>
            <w:tcW w:type="dxa" w:w="2880"/>
            <w:vAlign w:val="top"/>
          </w:tcPr>
          <w:p>
            <w:r>
              <w:rPr>
                <w:sz w:val="17"/>
              </w:rPr>
              <w:t>get_related_entities</w:t>
            </w:r>
          </w:p>
        </w:tc>
        <w:tc>
          <w:tcPr>
            <w:tcW w:type="dxa" w:w="2880"/>
            <w:vAlign w:val="top"/>
          </w:tcPr>
          <w:p>
            <w:r>
              <w:rPr>
                <w:sz w:val="17"/>
              </w:rPr>
              <w:t>transaction_id</w:t>
            </w:r>
          </w:p>
        </w:tc>
        <w:tc>
          <w:tcPr>
            <w:tcW w:type="dxa" w:w="3600"/>
            <w:vAlign w:val="top"/>
          </w:tcPr>
          <w:p>
            <w:r>
              <w:rPr>
                <w:sz w:val="17"/>
              </w:rPr>
              <w:t>linked accounts/devices/IPs/merchants</w:t>
            </w:r>
          </w:p>
        </w:tc>
      </w:tr>
      <w:tr>
        <w:tc>
          <w:tcPr>
            <w:tcW w:type="dxa" w:w="2880"/>
            <w:vAlign w:val="top"/>
          </w:tcPr>
          <w:p>
            <w:r>
              <w:rPr>
                <w:sz w:val="17"/>
              </w:rPr>
              <w:t>get_rule_results</w:t>
            </w:r>
          </w:p>
        </w:tc>
        <w:tc>
          <w:tcPr>
            <w:tcW w:type="dxa" w:w="2880"/>
            <w:vAlign w:val="top"/>
          </w:tcPr>
          <w:p>
            <w:r>
              <w:rPr>
                <w:sz w:val="17"/>
              </w:rPr>
              <w:t>transaction_id</w:t>
            </w:r>
          </w:p>
        </w:tc>
        <w:tc>
          <w:tcPr>
            <w:tcW w:type="dxa" w:w="3600"/>
            <w:vAlign w:val="top"/>
          </w:tcPr>
          <w:p>
            <w:r>
              <w:rPr>
                <w:sz w:val="17"/>
              </w:rPr>
              <w:t>triggered rules and evidence values</w:t>
            </w:r>
          </w:p>
        </w:tc>
      </w:tr>
      <w:tr>
        <w:tc>
          <w:tcPr>
            <w:tcW w:type="dxa" w:w="2880"/>
            <w:vAlign w:val="top"/>
          </w:tcPr>
          <w:p>
            <w:r>
              <w:rPr>
                <w:sz w:val="17"/>
              </w:rPr>
              <w:t>calculate_geo_distance</w:t>
            </w:r>
          </w:p>
        </w:tc>
        <w:tc>
          <w:tcPr>
            <w:tcW w:type="dxa" w:w="2880"/>
            <w:vAlign w:val="top"/>
          </w:tcPr>
          <w:p>
            <w:r>
              <w:rPr>
                <w:sz w:val="17"/>
              </w:rPr>
              <w:t>lat/lon pair + time</w:t>
            </w:r>
          </w:p>
        </w:tc>
        <w:tc>
          <w:tcPr>
            <w:tcW w:type="dxa" w:w="3600"/>
            <w:vAlign w:val="top"/>
          </w:tcPr>
          <w:p>
            <w:r>
              <w:rPr>
                <w:sz w:val="17"/>
              </w:rPr>
              <w:t>distance, elapsed time, implied speed</w:t>
            </w:r>
          </w:p>
        </w:tc>
      </w:tr>
      <w:tr>
        <w:tc>
          <w:tcPr>
            <w:tcW w:type="dxa" w:w="2880"/>
            <w:vAlign w:val="top"/>
          </w:tcPr>
          <w:p>
            <w:r>
              <w:rPr>
                <w:sz w:val="17"/>
              </w:rPr>
              <w:t>get_prior_cases</w:t>
            </w:r>
          </w:p>
        </w:tc>
        <w:tc>
          <w:tcPr>
            <w:tcW w:type="dxa" w:w="2880"/>
            <w:vAlign w:val="top"/>
          </w:tcPr>
          <w:p>
            <w:r>
              <w:rPr>
                <w:sz w:val="17"/>
              </w:rPr>
              <w:t>customer/entity IDs</w:t>
            </w:r>
          </w:p>
        </w:tc>
        <w:tc>
          <w:tcPr>
            <w:tcW w:type="dxa" w:w="3600"/>
            <w:vAlign w:val="top"/>
          </w:tcPr>
          <w:p>
            <w:r>
              <w:rPr>
                <w:sz w:val="17"/>
              </w:rPr>
              <w:t>previous case summaries and outcomes</w:t>
            </w:r>
          </w:p>
        </w:tc>
      </w:tr>
      <w:tr>
        <w:tc>
          <w:tcPr>
            <w:tcW w:type="dxa" w:w="2880"/>
            <w:vAlign w:val="top"/>
          </w:tcPr>
          <w:p>
            <w:r>
              <w:rPr>
                <w:sz w:val="17"/>
              </w:rPr>
              <w:t>save_evidence</w:t>
            </w:r>
          </w:p>
        </w:tc>
        <w:tc>
          <w:tcPr>
            <w:tcW w:type="dxa" w:w="2880"/>
            <w:vAlign w:val="top"/>
          </w:tcPr>
          <w:p>
            <w:r>
              <w:rPr>
                <w:sz w:val="17"/>
              </w:rPr>
              <w:t>case_id, evidence object</w:t>
            </w:r>
          </w:p>
        </w:tc>
        <w:tc>
          <w:tcPr>
            <w:tcW w:type="dxa" w:w="3600"/>
            <w:vAlign w:val="top"/>
          </w:tcPr>
          <w:p>
            <w:r>
              <w:rPr>
                <w:sz w:val="17"/>
              </w:rPr>
              <w:t>persisted evidence reference</w:t>
            </w:r>
          </w:p>
        </w:tc>
      </w:tr>
      <w:tr>
        <w:tc>
          <w:tcPr>
            <w:tcW w:type="dxa" w:w="2880"/>
            <w:vAlign w:val="top"/>
          </w:tcPr>
          <w:p>
            <w:r>
              <w:rPr>
                <w:sz w:val="17"/>
              </w:rPr>
              <w:t>create_or_update_case</w:t>
            </w:r>
          </w:p>
        </w:tc>
        <w:tc>
          <w:tcPr>
            <w:tcW w:type="dxa" w:w="2880"/>
            <w:vAlign w:val="top"/>
          </w:tcPr>
          <w:p>
            <w:r>
              <w:rPr>
                <w:sz w:val="17"/>
              </w:rPr>
              <w:t>case data</w:t>
            </w:r>
          </w:p>
        </w:tc>
        <w:tc>
          <w:tcPr>
            <w:tcW w:type="dxa" w:w="3600"/>
            <w:vAlign w:val="top"/>
          </w:tcPr>
          <w:p>
            <w:r>
              <w:rPr>
                <w:sz w:val="17"/>
              </w:rPr>
              <w:t>case identifier and status</w:t>
            </w:r>
          </w:p>
        </w:tc>
      </w:tr>
      <w:tr>
        <w:tc>
          <w:tcPr>
            <w:tcW w:type="dxa" w:w="2880"/>
            <w:vAlign w:val="top"/>
          </w:tcPr>
          <w:p>
            <w:r>
              <w:rPr>
                <w:sz w:val="17"/>
              </w:rPr>
              <w:t>send_notification</w:t>
            </w:r>
          </w:p>
        </w:tc>
        <w:tc>
          <w:tcPr>
            <w:tcW w:type="dxa" w:w="2880"/>
            <w:vAlign w:val="top"/>
          </w:tcPr>
          <w:p>
            <w:r>
              <w:rPr>
                <w:sz w:val="17"/>
              </w:rPr>
              <w:t>case + severity</w:t>
            </w:r>
          </w:p>
        </w:tc>
        <w:tc>
          <w:tcPr>
            <w:tcW w:type="dxa" w:w="3600"/>
            <w:vAlign w:val="top"/>
          </w:tcPr>
          <w:p>
            <w:r>
              <w:rPr>
                <w:sz w:val="17"/>
              </w:rPr>
              <w:t>notification result</w:t>
            </w:r>
          </w:p>
        </w:tc>
      </w:tr>
    </w:tbl>
    <w:p>
      <w:r/>
    </w:p>
    <w:p>
      <w:pPr>
        <w:pStyle w:val="Heading1"/>
        <w:pageBreakBefore w:val="0"/>
      </w:pPr>
      <w:r>
        <w:t>8. LangGraph Workflow</w:t>
      </w:r>
    </w:p>
    <w:p>
      <w:r>
        <w:t>LangGraph is used as the workflow/orchestration layer rather than as the rule engine. The workflow is a graph of controlled nodes with explicit state transitions.</w:t>
      </w:r>
    </w:p>
    <w:tbl>
      <w:tblPr>
        <w:tblW w:type="auto" w:w="0"/>
        <w:jc w:val="center"/>
        <w:tblLook w:firstColumn="1" w:firstRow="1" w:lastColumn="0" w:lastRow="0" w:noHBand="0" w:noVBand="1" w:val="04A0"/>
      </w:tblPr>
      <w:tblGrid>
        <w:gridCol w:w="10166"/>
      </w:tblGrid>
      <w:tr>
        <w:tc>
          <w:tcPr>
            <w:tcW w:type="dxa" w:w="10166"/>
            <w:shd w:fill="F7F7F7"/>
            <w:tcBorders>
              <w:top w:sz="4" w:val="single" w:color="D9D9D9"/>
              <w:left w:sz="4" w:val="single" w:color="D9D9D9"/>
              <w:bottom w:sz="4" w:val="single" w:color="D9D9D9"/>
              <w:right w:sz="4" w:val="single" w:color="D9D9D9"/>
            </w:tcBorders>
          </w:tcPr>
          <w:p>
            <w:r>
              <w:rPr>
                <w:rFonts w:ascii="Consolas" w:hAnsi="Consolas"/>
                <w:sz w:val="16"/>
              </w:rPr>
              <w:t>START → Load State → Check Evidence</w:t>
              <w:br/>
            </w:r>
            <w:r>
              <w:rPr>
                <w:rFonts w:ascii="Consolas" w:hAnsi="Consolas"/>
                <w:sz w:val="16"/>
              </w:rPr>
              <w:t>├─ sufficient → Build Evidence</w:t>
              <w:br/>
            </w:r>
            <w:r>
              <w:rPr>
                <w:rFonts w:ascii="Consolas" w:hAnsi="Consolas"/>
                <w:sz w:val="16"/>
              </w:rPr>
              <w:t>└─ insufficient → Select Next Check</w:t>
              <w:br/>
            </w:r>
            <w:r>
              <w:rPr>
                <w:rFonts w:ascii="Consolas" w:hAnsi="Consolas"/>
                <w:sz w:val="16"/>
              </w:rPr>
              <w:t xml:space="preserve">                ↓ Call Approved Tool → Validate Output</w:t>
              <w:br/>
            </w:r>
            <w:r>
              <w:rPr>
                <w:rFonts w:ascii="Consolas" w:hAnsi="Consolas"/>
                <w:sz w:val="16"/>
              </w:rPr>
              <w:t xml:space="preserve">                ↓ Persist Finding / Evidence</w:t>
              <w:br/>
            </w:r>
            <w:r>
              <w:rPr>
                <w:rFonts w:ascii="Consolas" w:hAnsi="Consolas"/>
                <w:sz w:val="16"/>
              </w:rPr>
              <w:t xml:space="preserve">                ↓ Re-evaluate Evidence</w:t>
              <w:br/>
            </w:r>
            <w:r>
              <w:rPr>
                <w:rFonts w:ascii="Consolas" w:hAnsi="Consolas"/>
                <w:sz w:val="16"/>
              </w:rPr>
              <w:t>Build Evidence → Recommendation → Human Handoff → END</w:t>
            </w:r>
          </w:p>
        </w:tc>
      </w:tr>
    </w:tbl>
    <w:p/>
    <w:p>
      <w:pPr>
        <w:pStyle w:val="Heading1"/>
      </w:pPr>
      <w:r>
        <w:t>9. Guardrails and Safety</w:t>
      </w:r>
    </w:p>
    <w:p>
      <w:pPr>
        <w:pStyle w:val="ListBullet"/>
      </w:pPr>
      <w:r>
        <w:t>LLM output must never replace deterministic rule calculations.</w:t>
      </w:r>
    </w:p>
    <w:p>
      <w:pPr>
        <w:pStyle w:val="ListBullet"/>
      </w:pPr>
      <w:r>
        <w:t>Every material agent finding must cite a structured data source, calculation, or rule result.</w:t>
      </w:r>
    </w:p>
    <w:p>
      <w:pPr>
        <w:pStyle w:val="ListBullet"/>
      </w:pPr>
      <w:r>
        <w:t>Agents receive least-privilege tools rather than unrestricted database or infrastructure access.</w:t>
      </w:r>
    </w:p>
    <w:p>
      <w:pPr>
        <w:pStyle w:val="ListBullet"/>
      </w:pPr>
      <w:r>
        <w:t>Agents cannot silently change production rules.</w:t>
      </w:r>
    </w:p>
    <w:p>
      <w:pPr>
        <w:pStyle w:val="ListBullet"/>
      </w:pPr>
      <w:r>
        <w:t>Agents cannot directly execute irreversible financial actions such as permanently blocking funds.</w:t>
      </w:r>
    </w:p>
    <w:p>
      <w:pPr>
        <w:pStyle w:val="ListBullet"/>
      </w:pPr>
      <w:r>
        <w:t>High/critical actions require explicit human review under configured policies.</w:t>
      </w:r>
    </w:p>
    <w:p>
      <w:pPr>
        <w:pStyle w:val="ListBullet"/>
      </w:pPr>
      <w:r>
        <w:t>Notification failures must not invalidate a persisted fraud decision.</w:t>
      </w:r>
    </w:p>
    <w:p>
      <w:pPr>
        <w:pStyle w:val="ListBullet"/>
      </w:pPr>
      <w:r>
        <w:t>Agent failures are recorded; retries are bounded and idempotent.</w:t>
      </w:r>
    </w:p>
    <w:p>
      <w:pPr>
        <w:pStyle w:val="Heading1"/>
      </w:pPr>
      <w:r>
        <w:t>10. Human Handoff Policy</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0B3A66"/>
            <w:vAlign w:val="center"/>
          </w:tcPr>
          <w:p>
            <w:r>
              <w:rPr>
                <w:b/>
                <w:color w:val="FFFFFF"/>
                <w:sz w:val="18"/>
              </w:rPr>
              <w:t>Risk Band</w:t>
            </w:r>
          </w:p>
        </w:tc>
        <w:tc>
          <w:tcPr>
            <w:tcW w:type="dxa" w:w="4320"/>
            <w:shd w:fill="0B3A66"/>
            <w:vAlign w:val="center"/>
          </w:tcPr>
          <w:p>
            <w:r>
              <w:rPr>
                <w:b/>
                <w:color w:val="FFFFFF"/>
                <w:sz w:val="18"/>
              </w:rPr>
              <w:t>Automation</w:t>
            </w:r>
          </w:p>
        </w:tc>
        <w:tc>
          <w:tcPr>
            <w:tcW w:type="dxa" w:w="3168"/>
            <w:shd w:fill="0B3A66"/>
            <w:vAlign w:val="center"/>
          </w:tcPr>
          <w:p>
            <w:r>
              <w:rPr>
                <w:b/>
                <w:color w:val="FFFFFF"/>
                <w:sz w:val="18"/>
              </w:rPr>
              <w:t>Human Action</w:t>
            </w:r>
          </w:p>
        </w:tc>
      </w:tr>
      <w:tr>
        <w:tc>
          <w:tcPr>
            <w:tcW w:type="dxa" w:w="1872"/>
            <w:vAlign w:val="top"/>
          </w:tcPr>
          <w:p>
            <w:r>
              <w:rPr>
                <w:sz w:val="17"/>
              </w:rPr>
              <w:t>LOW</w:t>
            </w:r>
          </w:p>
        </w:tc>
        <w:tc>
          <w:tcPr>
            <w:tcW w:type="dxa" w:w="4320"/>
            <w:vAlign w:val="top"/>
          </w:tcPr>
          <w:p>
            <w:r>
              <w:rPr>
                <w:sz w:val="17"/>
              </w:rPr>
              <w:t>Normal processing</w:t>
            </w:r>
          </w:p>
        </w:tc>
        <w:tc>
          <w:tcPr>
            <w:tcW w:type="dxa" w:w="3168"/>
            <w:vAlign w:val="top"/>
          </w:tcPr>
          <w:p>
            <w:r>
              <w:rPr>
                <w:sz w:val="17"/>
              </w:rPr>
              <w:t>None</w:t>
            </w:r>
          </w:p>
        </w:tc>
      </w:tr>
      <w:tr>
        <w:tc>
          <w:tcPr>
            <w:tcW w:type="dxa" w:w="1872"/>
            <w:vAlign w:val="top"/>
          </w:tcPr>
          <w:p>
            <w:r>
              <w:rPr>
                <w:sz w:val="17"/>
              </w:rPr>
              <w:t>MEDIUM</w:t>
            </w:r>
          </w:p>
        </w:tc>
        <w:tc>
          <w:tcPr>
            <w:tcW w:type="dxa" w:w="4320"/>
            <w:vAlign w:val="top"/>
          </w:tcPr>
          <w:p>
            <w:r>
              <w:rPr>
                <w:sz w:val="17"/>
              </w:rPr>
              <w:t>Monitor / aggregate</w:t>
            </w:r>
          </w:p>
        </w:tc>
        <w:tc>
          <w:tcPr>
            <w:tcW w:type="dxa" w:w="3168"/>
            <w:vAlign w:val="top"/>
          </w:tcPr>
          <w:p>
            <w:r>
              <w:rPr>
                <w:sz w:val="17"/>
              </w:rPr>
              <w:t>Optional review</w:t>
            </w:r>
          </w:p>
        </w:tc>
      </w:tr>
      <w:tr>
        <w:tc>
          <w:tcPr>
            <w:tcW w:type="dxa" w:w="1872"/>
            <w:vAlign w:val="top"/>
          </w:tcPr>
          <w:p>
            <w:r>
              <w:rPr>
                <w:sz w:val="17"/>
              </w:rPr>
              <w:t>HIGH</w:t>
            </w:r>
          </w:p>
        </w:tc>
        <w:tc>
          <w:tcPr>
            <w:tcW w:type="dxa" w:w="4320"/>
            <w:vAlign w:val="top"/>
          </w:tcPr>
          <w:p>
            <w:r>
              <w:rPr>
                <w:sz w:val="17"/>
              </w:rPr>
              <w:t>Full automated investigation</w:t>
            </w:r>
          </w:p>
        </w:tc>
        <w:tc>
          <w:tcPr>
            <w:tcW w:type="dxa" w:w="3168"/>
            <w:vAlign w:val="top"/>
          </w:tcPr>
          <w:p>
            <w:r>
              <w:rPr>
                <w:sz w:val="17"/>
              </w:rPr>
              <w:t>Reviewer queue + decision</w:t>
            </w:r>
          </w:p>
        </w:tc>
      </w:tr>
      <w:tr>
        <w:tc>
          <w:tcPr>
            <w:tcW w:type="dxa" w:w="1872"/>
            <w:vAlign w:val="top"/>
          </w:tcPr>
          <w:p>
            <w:r>
              <w:rPr>
                <w:sz w:val="17"/>
              </w:rPr>
              <w:t>CRITICAL</w:t>
            </w:r>
          </w:p>
        </w:tc>
        <w:tc>
          <w:tcPr>
            <w:tcW w:type="dxa" w:w="4320"/>
            <w:vAlign w:val="top"/>
          </w:tcPr>
          <w:p>
            <w:r>
              <w:rPr>
                <w:sz w:val="17"/>
              </w:rPr>
              <w:t>Full investigation + immediate alert</w:t>
            </w:r>
          </w:p>
        </w:tc>
        <w:tc>
          <w:tcPr>
            <w:tcW w:type="dxa" w:w="3168"/>
            <w:vAlign w:val="top"/>
          </w:tcPr>
          <w:p>
            <w:r>
              <w:rPr>
                <w:sz w:val="17"/>
              </w:rPr>
              <w:t>Mandatory human decision</w:t>
            </w:r>
          </w:p>
        </w:tc>
      </w:tr>
    </w:tbl>
    <w:p/>
    <w:p>
      <w:pPr>
        <w:pStyle w:val="Heading2"/>
      </w:pPr>
      <w:r>
        <w:t>Human handoff triggers</w:t>
      </w:r>
    </w:p>
    <w:p>
      <w:pPr>
        <w:pStyle w:val="ListBullet"/>
      </w:pPr>
      <w:r>
        <w:t>Risk is critical or exceeds an explicit business threshold.</w:t>
      </w:r>
    </w:p>
    <w:p>
      <w:pPr>
        <w:pStyle w:val="ListBullet"/>
      </w:pPr>
      <w:r>
        <w:t>Evidence is contradictory or materially incomplete.</w:t>
      </w:r>
    </w:p>
    <w:p>
      <w:pPr>
        <w:pStyle w:val="ListBullet"/>
      </w:pPr>
      <w:r>
        <w:t>The agent cannot establish a reliable recommendation within its evidence budget.</w:t>
      </w:r>
    </w:p>
    <w:p>
      <w:pPr>
        <w:pStyle w:val="ListBullet"/>
      </w:pPr>
      <w:r>
        <w:t>A proposed action would create an irreversible or high-impact financial effect.</w:t>
      </w:r>
    </w:p>
    <w:p>
      <w:pPr>
        <w:pStyle w:val="Heading1"/>
      </w:pPr>
      <w:r>
        <w:t>11. Explainability Contract</w:t>
      </w:r>
    </w:p>
    <w:p>
      <w:r>
        <w:t>The case UI should distinguish hard evidence from agent interpretation.</w:t>
      </w:r>
    </w:p>
    <w:tbl>
      <w:tblPr>
        <w:tblStyle w:val="TableGrid"/>
        <w:tblW w:type="auto" w:w="0"/>
        <w:jc w:val="center"/>
        <w:tblLook w:firstColumn="1" w:firstRow="1" w:lastColumn="0" w:lastRow="0" w:noHBand="0" w:noVBand="1" w:val="04A0"/>
      </w:tblPr>
      <w:tblGrid>
        <w:gridCol w:w="5083"/>
        <w:gridCol w:w="5083"/>
      </w:tblGrid>
      <w:tr>
        <w:tc>
          <w:tcPr>
            <w:tcW w:type="dxa" w:w="2592"/>
            <w:shd w:fill="0B3A66"/>
            <w:vAlign w:val="center"/>
          </w:tcPr>
          <w:p>
            <w:r>
              <w:rPr>
                <w:b/>
                <w:color w:val="FFFFFF"/>
                <w:sz w:val="18"/>
              </w:rPr>
              <w:t>Type</w:t>
            </w:r>
          </w:p>
        </w:tc>
        <w:tc>
          <w:tcPr>
            <w:tcW w:type="dxa" w:w="6768"/>
            <w:shd w:fill="0B3A66"/>
            <w:vAlign w:val="center"/>
          </w:tcPr>
          <w:p>
            <w:r>
              <w:rPr>
                <w:b/>
                <w:color w:val="FFFFFF"/>
                <w:sz w:val="18"/>
              </w:rPr>
              <w:t>Example</w:t>
            </w:r>
          </w:p>
        </w:tc>
      </w:tr>
      <w:tr>
        <w:tc>
          <w:tcPr>
            <w:tcW w:type="dxa" w:w="2592"/>
            <w:vAlign w:val="top"/>
          </w:tcPr>
          <w:p>
            <w:r>
              <w:rPr>
                <w:sz w:val="17"/>
              </w:rPr>
              <w:t>Observed fact</w:t>
            </w:r>
          </w:p>
        </w:tc>
        <w:tc>
          <w:tcPr>
            <w:tcW w:type="dxa" w:w="6768"/>
            <w:vAlign w:val="top"/>
          </w:tcPr>
          <w:p>
            <w:r>
              <w:rPr>
                <w:sz w:val="17"/>
              </w:rPr>
              <w:t>Transaction amount = ₹10,00,000</w:t>
            </w:r>
          </w:p>
        </w:tc>
      </w:tr>
      <w:tr>
        <w:tc>
          <w:tcPr>
            <w:tcW w:type="dxa" w:w="2592"/>
            <w:vAlign w:val="top"/>
          </w:tcPr>
          <w:p>
            <w:r>
              <w:rPr>
                <w:sz w:val="17"/>
              </w:rPr>
              <w:t>Calculated metric</w:t>
            </w:r>
          </w:p>
        </w:tc>
        <w:tc>
          <w:tcPr>
            <w:tcW w:type="dxa" w:w="6768"/>
            <w:vAlign w:val="top"/>
          </w:tcPr>
          <w:p>
            <w:r>
              <w:rPr>
                <w:sz w:val="17"/>
              </w:rPr>
              <w:t>Amount is 25.4x customer median</w:t>
            </w:r>
          </w:p>
        </w:tc>
      </w:tr>
      <w:tr>
        <w:tc>
          <w:tcPr>
            <w:tcW w:type="dxa" w:w="2592"/>
            <w:vAlign w:val="top"/>
          </w:tcPr>
          <w:p>
            <w:r>
              <w:rPr>
                <w:sz w:val="17"/>
              </w:rPr>
              <w:t>Rule result</w:t>
            </w:r>
          </w:p>
        </w:tc>
        <w:tc>
          <w:tcPr>
            <w:tcW w:type="dxa" w:w="6768"/>
            <w:vAlign w:val="top"/>
          </w:tcPr>
          <w:p>
            <w:r>
              <w:rPr>
                <w:sz w:val="17"/>
              </w:rPr>
              <w:t>Unusual Amount Rule triggered, +35</w:t>
            </w:r>
          </w:p>
        </w:tc>
      </w:tr>
      <w:tr>
        <w:tc>
          <w:tcPr>
            <w:tcW w:type="dxa" w:w="2592"/>
            <w:vAlign w:val="top"/>
          </w:tcPr>
          <w:p>
            <w:r>
              <w:rPr>
                <w:sz w:val="17"/>
              </w:rPr>
              <w:t>Agent interpretation</w:t>
            </w:r>
          </w:p>
        </w:tc>
        <w:tc>
          <w:tcPr>
            <w:tcW w:type="dxa" w:w="6768"/>
            <w:vAlign w:val="top"/>
          </w:tcPr>
          <w:p>
            <w:r>
              <w:rPr>
                <w:sz w:val="17"/>
              </w:rPr>
              <w:t>Combined signals indicate elevated fraud risk</w:t>
            </w:r>
          </w:p>
        </w:tc>
      </w:tr>
      <w:tr>
        <w:tc>
          <w:tcPr>
            <w:tcW w:type="dxa" w:w="2592"/>
            <w:vAlign w:val="top"/>
          </w:tcPr>
          <w:p>
            <w:r>
              <w:rPr>
                <w:sz w:val="17"/>
              </w:rPr>
              <w:t>Recommendation</w:t>
            </w:r>
          </w:p>
        </w:tc>
        <w:tc>
          <w:tcPr>
            <w:tcW w:type="dxa" w:w="6768"/>
            <w:vAlign w:val="top"/>
          </w:tcPr>
          <w:p>
            <w:r>
              <w:rPr>
                <w:sz w:val="17"/>
              </w:rPr>
              <w:t>HOLD_FOR_REVIEW</w:t>
            </w:r>
          </w:p>
        </w:tc>
      </w:tr>
    </w:tbl>
    <w:p/>
    <w:p>
      <w:pPr>
        <w:pStyle w:val="Heading1"/>
      </w:pPr>
      <w:r>
        <w:t>12. Audit Trail</w:t>
      </w:r>
    </w:p>
    <w:p>
      <w:r>
        <w:t>Every investigation should produce an auditable timeline.</w:t>
      </w:r>
    </w:p>
    <w:tbl>
      <w:tblPr>
        <w:tblW w:type="auto" w:w="0"/>
        <w:jc w:val="center"/>
        <w:tblLook w:firstColumn="1" w:firstRow="1" w:lastColumn="0" w:lastRow="0" w:noHBand="0" w:noVBand="1" w:val="04A0"/>
      </w:tblPr>
      <w:tblGrid>
        <w:gridCol w:w="10166"/>
      </w:tblGrid>
      <w:tr>
        <w:tc>
          <w:tcPr>
            <w:tcW w:type="dxa" w:w="10166"/>
            <w:shd w:fill="F7F7F7"/>
            <w:tcBorders>
              <w:top w:sz="4" w:val="single" w:color="D9D9D9"/>
              <w:left w:sz="4" w:val="single" w:color="D9D9D9"/>
              <w:bottom w:sz="4" w:val="single" w:color="D9D9D9"/>
              <w:right w:sz="4" w:val="single" w:color="D9D9D9"/>
            </w:tcBorders>
          </w:tcPr>
          <w:p>
            <w:r>
              <w:rPr>
                <w:rFonts w:ascii="Consolas" w:hAnsi="Consolas"/>
                <w:color w:val="1F2937"/>
                <w:sz w:val="17"/>
              </w:rPr>
              <w:t>11:20:01  Investigation started</w:t>
              <w:br/>
            </w:r>
            <w:r>
              <w:rPr>
                <w:rFonts w:ascii="Consolas" w:hAnsi="Consolas"/>
                <w:color w:val="1F2937"/>
                <w:sz w:val="17"/>
              </w:rPr>
              <w:t>11:20:01  Loaded 90-day customer history</w:t>
              <w:br/>
            </w:r>
            <w:r>
              <w:rPr>
                <w:rFonts w:ascii="Consolas" w:hAnsi="Consolas"/>
                <w:color w:val="1F2937"/>
                <w:sz w:val="17"/>
              </w:rPr>
              <w:t>11:20:02  Loaded merchant profile</w:t>
              <w:br/>
            </w:r>
            <w:r>
              <w:rPr>
                <w:rFonts w:ascii="Consolas" w:hAnsi="Consolas"/>
                <w:color w:val="1F2937"/>
                <w:sz w:val="17"/>
              </w:rPr>
              <w:t>11:20:02  Found 6 related transactions</w:t>
              <w:br/>
            </w:r>
            <w:r>
              <w:rPr>
                <w:rFonts w:ascii="Consolas" w:hAnsi="Consolas"/>
                <w:color w:val="1F2937"/>
                <w:sz w:val="17"/>
              </w:rPr>
              <w:t>11:20:03  Relationship analysis found shared device</w:t>
              <w:br/>
            </w:r>
            <w:r>
              <w:rPr>
                <w:rFonts w:ascii="Consolas" w:hAnsi="Consolas"/>
                <w:color w:val="1F2937"/>
                <w:sz w:val="17"/>
              </w:rPr>
              <w:t>11:20:03  Evidence pack saved</w:t>
              <w:br/>
            </w:r>
            <w:r>
              <w:rPr>
                <w:rFonts w:ascii="Consolas" w:hAnsi="Consolas"/>
                <w:color w:val="1F2937"/>
                <w:sz w:val="17"/>
              </w:rPr>
              <w:t>11:20:04  Recommendation: HOLD_FOR_REVIEW</w:t>
              <w:br/>
            </w:r>
            <w:r>
              <w:rPr>
                <w:rFonts w:ascii="Consolas" w:hAnsi="Consolas"/>
                <w:color w:val="1F2937"/>
                <w:sz w:val="17"/>
              </w:rPr>
              <w:t>11:20:04  Reviewer notified</w:t>
              <w:br/>
            </w:r>
            <w:r>
              <w:rPr>
                <w:rFonts w:ascii="Consolas" w:hAnsi="Consolas"/>
                <w:color w:val="1F2937"/>
                <w:sz w:val="17"/>
              </w:rPr>
              <w:t>11:21:12  Reviewer confirmed fraud</w:t>
            </w:r>
          </w:p>
        </w:tc>
      </w:tr>
    </w:tbl>
    <w:p/>
    <w:p>
      <w:pPr>
        <w:pStyle w:val="Heading1"/>
      </w:pPr>
      <w:r>
        <w:t>13. Failure and Retry Behavior</w:t>
      </w:r>
    </w:p>
    <w:tbl>
      <w:tblPr>
        <w:tblStyle w:val="TableGrid"/>
        <w:tblW w:type="auto" w:w="0"/>
        <w:jc w:val="center"/>
        <w:tblLook w:firstColumn="1" w:firstRow="1" w:lastColumn="0" w:lastRow="0" w:noHBand="0" w:noVBand="1" w:val="04A0"/>
      </w:tblPr>
      <w:tblGrid>
        <w:gridCol w:w="5083"/>
        <w:gridCol w:w="5083"/>
      </w:tblGrid>
      <w:tr>
        <w:tc>
          <w:tcPr>
            <w:tcW w:type="dxa" w:w="3024"/>
            <w:shd w:fill="0B3A66"/>
            <w:vAlign w:val="center"/>
          </w:tcPr>
          <w:p>
            <w:r>
              <w:rPr>
                <w:b/>
                <w:color w:val="FFFFFF"/>
                <w:sz w:val="18"/>
              </w:rPr>
              <w:t>Failure</w:t>
            </w:r>
          </w:p>
        </w:tc>
        <w:tc>
          <w:tcPr>
            <w:tcW w:type="dxa" w:w="6336"/>
            <w:shd w:fill="0B3A66"/>
            <w:vAlign w:val="center"/>
          </w:tcPr>
          <w:p>
            <w:r>
              <w:rPr>
                <w:b/>
                <w:color w:val="FFFFFF"/>
                <w:sz w:val="18"/>
              </w:rPr>
              <w:t>Expected Behavior</w:t>
            </w:r>
          </w:p>
        </w:tc>
      </w:tr>
      <w:tr>
        <w:tc>
          <w:tcPr>
            <w:tcW w:type="dxa" w:w="3024"/>
            <w:vAlign w:val="top"/>
          </w:tcPr>
          <w:p>
            <w:r>
              <w:rPr>
                <w:sz w:val="17"/>
              </w:rPr>
              <w:t>LLM timeout</w:t>
            </w:r>
          </w:p>
        </w:tc>
        <w:tc>
          <w:tcPr>
            <w:tcW w:type="dxa" w:w="6336"/>
            <w:vAlign w:val="top"/>
          </w:tcPr>
          <w:p>
            <w:r>
              <w:rPr>
                <w:sz w:val="17"/>
              </w:rPr>
              <w:t>Retry within a small bounded limit; fall back to deterministic case summary if needed</w:t>
            </w:r>
          </w:p>
        </w:tc>
      </w:tr>
      <w:tr>
        <w:tc>
          <w:tcPr>
            <w:tcW w:type="dxa" w:w="3024"/>
            <w:vAlign w:val="top"/>
          </w:tcPr>
          <w:p>
            <w:r>
              <w:rPr>
                <w:sz w:val="17"/>
              </w:rPr>
              <w:t>Tool timeout</w:t>
            </w:r>
          </w:p>
        </w:tc>
        <w:tc>
          <w:tcPr>
            <w:tcW w:type="dxa" w:w="6336"/>
            <w:vAlign w:val="top"/>
          </w:tcPr>
          <w:p>
            <w:r>
              <w:rPr>
                <w:sz w:val="17"/>
              </w:rPr>
              <w:t>Retry tool call; persist failure; continue with remaining independent checks</w:t>
            </w:r>
          </w:p>
        </w:tc>
      </w:tr>
      <w:tr>
        <w:tc>
          <w:tcPr>
            <w:tcW w:type="dxa" w:w="3024"/>
            <w:vAlign w:val="top"/>
          </w:tcPr>
          <w:p>
            <w:r>
              <w:rPr>
                <w:sz w:val="17"/>
              </w:rPr>
              <w:t>Database write failure</w:t>
            </w:r>
          </w:p>
        </w:tc>
        <w:tc>
          <w:tcPr>
            <w:tcW w:type="dxa" w:w="6336"/>
            <w:vAlign w:val="top"/>
          </w:tcPr>
          <w:p>
            <w:r>
              <w:rPr>
                <w:sz w:val="17"/>
              </w:rPr>
              <w:t>Do not claim the step completed; retry transactionally</w:t>
            </w:r>
          </w:p>
        </w:tc>
      </w:tr>
      <w:tr>
        <w:tc>
          <w:tcPr>
            <w:tcW w:type="dxa" w:w="3024"/>
            <w:vAlign w:val="top"/>
          </w:tcPr>
          <w:p>
            <w:r>
              <w:rPr>
                <w:sz w:val="17"/>
              </w:rPr>
              <w:t>Notification failure</w:t>
            </w:r>
          </w:p>
        </w:tc>
        <w:tc>
          <w:tcPr>
            <w:tcW w:type="dxa" w:w="6336"/>
            <w:vAlign w:val="top"/>
          </w:tcPr>
          <w:p>
            <w:r>
              <w:rPr>
                <w:sz w:val="17"/>
              </w:rPr>
              <w:t>Persist the case; queue/retry notification separately</w:t>
            </w:r>
          </w:p>
        </w:tc>
      </w:tr>
      <w:tr>
        <w:tc>
          <w:tcPr>
            <w:tcW w:type="dxa" w:w="3024"/>
            <w:vAlign w:val="top"/>
          </w:tcPr>
          <w:p>
            <w:r>
              <w:rPr>
                <w:sz w:val="17"/>
              </w:rPr>
              <w:t>Agent crash</w:t>
            </w:r>
          </w:p>
        </w:tc>
        <w:tc>
          <w:tcPr>
            <w:tcW w:type="dxa" w:w="6336"/>
            <w:vAlign w:val="top"/>
          </w:tcPr>
          <w:p>
            <w:r>
              <w:rPr>
                <w:sz w:val="17"/>
              </w:rPr>
              <w:t>Resume from last persisted checkpoint</w:t>
            </w:r>
          </w:p>
        </w:tc>
      </w:tr>
      <w:tr>
        <w:tc>
          <w:tcPr>
            <w:tcW w:type="dxa" w:w="3024"/>
            <w:vAlign w:val="top"/>
          </w:tcPr>
          <w:p>
            <w:r>
              <w:rPr>
                <w:sz w:val="17"/>
              </w:rPr>
              <w:t>Conflicting findings</w:t>
            </w:r>
          </w:p>
        </w:tc>
        <w:tc>
          <w:tcPr>
            <w:tcW w:type="dxa" w:w="6336"/>
            <w:vAlign w:val="top"/>
          </w:tcPr>
          <w:p>
            <w:r>
              <w:rPr>
                <w:sz w:val="17"/>
              </w:rPr>
              <w:t>Mark investigation as requiring human review</w:t>
            </w:r>
          </w:p>
        </w:tc>
      </w:tr>
    </w:tbl>
    <w:p/>
    <w:p>
      <w:pPr>
        <w:pStyle w:val="Heading1"/>
      </w:pPr>
      <w:r>
        <w:t>14. Example Investigation</w:t>
      </w:r>
    </w:p>
    <w:p>
      <w:r>
        <w:t>Scenario: A ₹10,00,000 payment is made at a fuel station. The customer normally spends ₹500–₹5,000 and has had no comparable transactions. A second transaction appears from a distant location shortly afterwards.</w:t>
      </w:r>
    </w:p>
    <w:p>
      <w:pPr>
        <w:pStyle w:val="ListNumber"/>
      </w:pPr>
      <w:r>
        <w:t>Mandatory rules trigger: unusual amount and impossible geography; velocity is also evaluated.</w:t>
      </w:r>
    </w:p>
    <w:p>
      <w:pPr>
        <w:pStyle w:val="ListNumber"/>
      </w:pPr>
      <w:r>
        <w:t>Risk engine classifies the transaction as high/critical.</w:t>
      </w:r>
    </w:p>
    <w:p>
      <w:pPr>
        <w:pStyle w:val="ListNumber"/>
      </w:pPr>
      <w:r>
        <w:t>Investigation Orchestrator starts the case.</w:t>
      </w:r>
    </w:p>
    <w:p>
      <w:pPr>
        <w:pStyle w:val="ListNumber"/>
      </w:pPr>
      <w:r>
        <w:t>Behavior analysis compares the amount with the customer baseline.</w:t>
      </w:r>
    </w:p>
    <w:p>
      <w:pPr>
        <w:pStyle w:val="ListNumber"/>
      </w:pPr>
      <w:r>
        <w:t>Business context analysis compares the amount with the fuel-station profile.</w:t>
      </w:r>
    </w:p>
    <w:p>
      <w:pPr>
        <w:pStyle w:val="ListNumber"/>
      </w:pPr>
      <w:r>
        <w:t>Relationship analysis searches for related customers/devices/transactions.</w:t>
      </w:r>
    </w:p>
    <w:p>
      <w:pPr>
        <w:pStyle w:val="ListNumber"/>
      </w:pPr>
      <w:r>
        <w:t>Evidence Builder stores structured evidence and creates a human-readable summary.</w:t>
      </w:r>
    </w:p>
    <w:p>
      <w:pPr>
        <w:pStyle w:val="ListNumber"/>
      </w:pPr>
      <w:r>
        <w:t>Recommendation Agent proposes HOLD_FOR_REVIEW.</w:t>
      </w:r>
    </w:p>
    <w:p>
      <w:pPr>
        <w:pStyle w:val="ListNumber"/>
      </w:pPr>
      <w:r>
        <w:t>Reviewer receives the case in the React console and decides the outcome.</w:t>
      </w:r>
    </w:p>
    <w:p>
      <w:pPr>
        <w:pStyle w:val="ListNumber"/>
      </w:pPr>
      <w:r>
        <w:t>The reviewer decision is stored for audit and later rule-performance analysis.</w:t>
      </w:r>
    </w:p>
    <w:p>
      <w:pPr>
        <w:pStyle w:val="Heading1"/>
      </w:pPr>
      <w:r>
        <w:t>15. Implementation Boundary</w:t>
      </w:r>
    </w:p>
    <w:p>
      <w:r>
        <w:t>The hackathon MVP should implement the agent layer as a controlled investigation workflow, not an open-ended autonomous system. The core capabilities are sufficient to demonstrate real workload reduction without introducing unnecessary complexity.</w:t>
      </w:r>
    </w:p>
    <w:tbl>
      <w:tblPr>
        <w:tblStyle w:val="TableGrid"/>
        <w:tblW w:type="auto" w:w="0"/>
        <w:jc w:val="center"/>
        <w:tblLook w:firstColumn="1" w:firstRow="1" w:lastColumn="0" w:lastRow="0" w:noHBand="0" w:noVBand="1" w:val="04A0"/>
      </w:tblPr>
      <w:tblGrid>
        <w:gridCol w:w="5083"/>
        <w:gridCol w:w="5083"/>
      </w:tblGrid>
      <w:tr>
        <w:tc>
          <w:tcPr>
            <w:tcW w:type="dxa" w:w="4464"/>
            <w:shd w:fill="0B3A66"/>
            <w:vAlign w:val="center"/>
          </w:tcPr>
          <w:p>
            <w:r>
              <w:rPr>
                <w:b/>
                <w:color w:val="FFFFFF"/>
                <w:sz w:val="18"/>
              </w:rPr>
              <w:t>Build Now</w:t>
            </w:r>
          </w:p>
        </w:tc>
        <w:tc>
          <w:tcPr>
            <w:tcW w:type="dxa" w:w="5184"/>
            <w:shd w:fill="0B3A66"/>
            <w:vAlign w:val="center"/>
          </w:tcPr>
          <w:p>
            <w:r>
              <w:rPr>
                <w:b/>
                <w:color w:val="FFFFFF"/>
                <w:sz w:val="18"/>
              </w:rPr>
              <w:t>Defer</w:t>
            </w:r>
          </w:p>
        </w:tc>
      </w:tr>
      <w:tr>
        <w:tc>
          <w:tcPr>
            <w:tcW w:type="dxa" w:w="4464"/>
            <w:vAlign w:val="top"/>
          </w:tcPr>
          <w:p>
            <w:r>
              <w:rPr>
                <w:sz w:val="17"/>
              </w:rPr>
              <w:t>Investigation Orchestrator</w:t>
            </w:r>
          </w:p>
        </w:tc>
        <w:tc>
          <w:tcPr>
            <w:tcW w:type="dxa" w:w="5184"/>
            <w:vAlign w:val="top"/>
          </w:tcPr>
          <w:p>
            <w:r>
              <w:rPr>
                <w:sz w:val="17"/>
              </w:rPr>
              <w:t>Fully autonomous financial blocking</w:t>
            </w:r>
          </w:p>
        </w:tc>
      </w:tr>
      <w:tr>
        <w:tc>
          <w:tcPr>
            <w:tcW w:type="dxa" w:w="4464"/>
            <w:vAlign w:val="top"/>
          </w:tcPr>
          <w:p>
            <w:r>
              <w:rPr>
                <w:sz w:val="17"/>
              </w:rPr>
              <w:t>Behavior Analysis</w:t>
            </w:r>
          </w:p>
        </w:tc>
        <w:tc>
          <w:tcPr>
            <w:tcW w:type="dxa" w:w="5184"/>
            <w:vAlign w:val="top"/>
          </w:tcPr>
          <w:p>
            <w:r>
              <w:rPr>
                <w:sz w:val="17"/>
              </w:rPr>
              <w:t>Complex model training pipeline</w:t>
            </w:r>
          </w:p>
        </w:tc>
      </w:tr>
      <w:tr>
        <w:tc>
          <w:tcPr>
            <w:tcW w:type="dxa" w:w="4464"/>
            <w:vAlign w:val="top"/>
          </w:tcPr>
          <w:p>
            <w:r>
              <w:rPr>
                <w:sz w:val="17"/>
              </w:rPr>
              <w:t>Business Context Analysis</w:t>
            </w:r>
          </w:p>
        </w:tc>
        <w:tc>
          <w:tcPr>
            <w:tcW w:type="dxa" w:w="5184"/>
            <w:vAlign w:val="top"/>
          </w:tcPr>
          <w:p>
            <w:r>
              <w:rPr>
                <w:sz w:val="17"/>
              </w:rPr>
              <w:t>Real-time external KYC integrations</w:t>
            </w:r>
          </w:p>
        </w:tc>
      </w:tr>
      <w:tr>
        <w:tc>
          <w:tcPr>
            <w:tcW w:type="dxa" w:w="4464"/>
            <w:vAlign w:val="top"/>
          </w:tcPr>
          <w:p>
            <w:r>
              <w:rPr>
                <w:sz w:val="17"/>
              </w:rPr>
              <w:t>Relationship Analysis</w:t>
            </w:r>
          </w:p>
        </w:tc>
        <w:tc>
          <w:tcPr>
            <w:tcW w:type="dxa" w:w="5184"/>
            <w:vAlign w:val="top"/>
          </w:tcPr>
          <w:p>
            <w:r>
              <w:rPr>
                <w:sz w:val="17"/>
              </w:rPr>
              <w:t>Enterprise-scale graph database</w:t>
            </w:r>
          </w:p>
        </w:tc>
      </w:tr>
      <w:tr>
        <w:tc>
          <w:tcPr>
            <w:tcW w:type="dxa" w:w="4464"/>
            <w:vAlign w:val="top"/>
          </w:tcPr>
          <w:p>
            <w:r>
              <w:rPr>
                <w:sz w:val="17"/>
              </w:rPr>
              <w:t>Evidence Builder</w:t>
            </w:r>
          </w:p>
        </w:tc>
        <w:tc>
          <w:tcPr>
            <w:tcW w:type="dxa" w:w="5184"/>
            <w:vAlign w:val="top"/>
          </w:tcPr>
          <w:p>
            <w:r>
              <w:rPr>
                <w:sz w:val="17"/>
              </w:rPr>
              <w:t>Multi-agent swarm architecture</w:t>
            </w:r>
          </w:p>
        </w:tc>
      </w:tr>
      <w:tr>
        <w:tc>
          <w:tcPr>
            <w:tcW w:type="dxa" w:w="4464"/>
            <w:vAlign w:val="top"/>
          </w:tcPr>
          <w:p>
            <w:r>
              <w:rPr>
                <w:sz w:val="17"/>
              </w:rPr>
              <w:t>Recommendation Agent</w:t>
            </w:r>
          </w:p>
        </w:tc>
        <w:tc>
          <w:tcPr>
            <w:tcW w:type="dxa" w:w="5184"/>
            <w:vAlign w:val="top"/>
          </w:tcPr>
          <w:p>
            <w:r>
              <w:rPr>
                <w:sz w:val="17"/>
              </w:rPr>
              <w:t>Unbounded autonomous actions</w:t>
            </w:r>
          </w:p>
        </w:tc>
      </w:tr>
    </w:tbl>
    <w:p/>
    <w:p>
      <w:pPr>
        <w:pStyle w:val="Heading1"/>
      </w:pPr>
      <w:r>
        <w:t>16. Definition of Done for the Agent Layer</w:t>
      </w:r>
    </w:p>
    <w:p>
      <w:pPr>
        <w:pStyle w:val="ListBullet"/>
      </w:pPr>
      <w:r>
        <w:t>A high-risk transaction automatically starts an investigation.</w:t>
      </w:r>
    </w:p>
    <w:p>
      <w:pPr>
        <w:pStyle w:val="ListBullet"/>
      </w:pPr>
      <w:r>
        <w:t>The orchestrator can call at least three investigation capabilities.</w:t>
      </w:r>
    </w:p>
    <w:p>
      <w:pPr>
        <w:pStyle w:val="ListBullet"/>
      </w:pPr>
      <w:r>
        <w:t>Each capability returns structured evidence that is persisted.</w:t>
      </w:r>
    </w:p>
    <w:p>
      <w:pPr>
        <w:pStyle w:val="ListBullet"/>
      </w:pPr>
      <w:r>
        <w:t>The system produces a case summary and recommendation.</w:t>
      </w:r>
    </w:p>
    <w:p>
      <w:pPr>
        <w:pStyle w:val="ListBullet"/>
      </w:pPr>
      <w:r>
        <w:t>The reviewer can inspect the evidence and override the recommendation.</w:t>
      </w:r>
    </w:p>
    <w:p>
      <w:pPr>
        <w:pStyle w:val="ListBullet"/>
      </w:pPr>
      <w:r>
        <w:t>The complete agent timeline is auditable.</w:t>
      </w:r>
    </w:p>
    <w:p>
      <w:pPr>
        <w:pStyle w:val="ListBullet"/>
      </w:pPr>
      <w:r>
        <w:t>The system still works when the LLM is unavailable by using deterministic evidence and a fallback case summary.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FraudOps • Agent System Design • 30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B3A6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E6B52"/>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b/>
      <w:color w:val="0B3A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