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B50"/>
          <w:sz w:val="30"/>
        </w:rPr>
        <w:t>FRAUDOPS</w:t>
      </w:r>
    </w:p>
    <w:p>
      <w:pPr>
        <w:pStyle w:val="Title"/>
        <w:jc w:val="center"/>
      </w:pPr>
      <w:r>
        <w:t>Four-Member Work Division &amp; Ownership Plan</w:t>
      </w:r>
    </w:p>
    <w:p>
      <w:pPr>
        <w:jc w:val="center"/>
      </w:pPr>
      <w:r>
        <w:rPr>
          <w:color w:val="505050"/>
          <w:sz w:val="24"/>
        </w:rPr>
        <w:t>Implementation plan for the Context-Aware Autonomous Fraud Investigation Platform</w:t>
      </w:r>
    </w:p>
    <w:p>
      <w:pPr>
        <w:jc w:val="center"/>
      </w:pPr>
      <w:r>
        <w:rPr>
          <w:sz w:val="22"/>
        </w:rPr>
        <w:t>Goal: parallel development, clean interfaces, single-owner accountability, and an end-to-end demo that works.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vAlign w:val="center"/>
          </w:tcPr>
          <w:p>
            <w:r/>
            <w:r>
              <w:rPr>
                <w:rFonts w:ascii="Aptos" w:hAnsi="Aptos"/>
                <w:b/>
                <w:color w:val="153B50"/>
                <w:sz w:val="22"/>
              </w:rPr>
              <w:t>Core principle: each member owns one complete vertical outcome, not a loose collection of tasks.</w:t>
            </w:r>
          </w:p>
        </w:tc>
      </w:tr>
    </w:tbl>
    <w:p>
      <w:pPr>
        <w:pStyle w:val="Heading1"/>
        <w:spacing w:before="160" w:after="60"/>
      </w:pPr>
      <w:r>
        <w:t>1. Team Structure</w:t>
      </w:r>
    </w:p>
    <w:p>
      <w:pPr>
        <w:pStyle w:val="ListBullet"/>
        <w:spacing w:after="0" w:line="240" w:lineRule="auto"/>
      </w:pPr>
      <w:r>
        <w:t>Member 1 — Core Fraud Engine + Backend</w:t>
      </w:r>
    </w:p>
    <w:p>
      <w:pPr>
        <w:pStyle w:val="ListBullet"/>
        <w:spacing w:after="0" w:line="240" w:lineRule="auto"/>
      </w:pPr>
      <w:r>
        <w:t>Member 2 — Agentic Investigation System</w:t>
      </w:r>
    </w:p>
    <w:p>
      <w:pPr>
        <w:pStyle w:val="ListBullet"/>
        <w:spacing w:after="0" w:line="240" w:lineRule="auto"/>
      </w:pPr>
      <w:r>
        <w:t>Member 3 — Frontend + Reviewer Experience</w:t>
      </w:r>
    </w:p>
    <w:p>
      <w:pPr>
        <w:pStyle w:val="ListBullet"/>
        <w:spacing w:after="0" w:line="240" w:lineRule="auto"/>
      </w:pPr>
      <w:r>
        <w:t>Member 4 — Database + AWS + Integration + QA</w:t>
      </w:r>
    </w:p>
    <w:p>
      <w:r>
        <w:rPr>
          <w:b/>
        </w:rPr>
        <w:t xml:space="preserve">Why this split: </w:t>
      </w:r>
      <w:r>
        <w:t>it follows the product architecture. Backend owns detection, the agent owner owns investigation, frontend owns analyst workflow, and the platform owner makes data, infrastructure, notifications, and integration reliable.</w:t>
      </w:r>
    </w:p>
    <w:p>
      <w:pPr>
        <w:pStyle w:val="Heading1"/>
        <w:spacing w:before="160" w:after="60"/>
      </w:pPr>
      <w:r>
        <w:t>2. Member 1 — Core Fraud Engine + Backend</w:t>
      </w:r>
    </w:p>
    <w:p>
      <w:r>
        <w:rPr>
          <w:b/>
        </w:rPr>
        <w:t xml:space="preserve">Primary mission: </w:t>
      </w:r>
      <w:r>
        <w:t>Own transaction ingestion through deterministic risk evaluation and case/flag creation.</w:t>
      </w:r>
    </w:p>
    <w:p>
      <w:pPr>
        <w:pStyle w:val="Heading2"/>
        <w:spacing w:before="100" w:after="40"/>
      </w:pPr>
      <w:r>
        <w:t>Responsibilities</w:t>
      </w:r>
    </w:p>
    <w:p>
      <w:pPr>
        <w:pStyle w:val="ListBullet"/>
        <w:spacing w:after="0" w:line="240" w:lineRule="auto"/>
      </w:pPr>
      <w:r>
        <w:t>FastAPI application structure, routes, request/response schemas, validation, and service boundaries.</w:t>
      </w:r>
    </w:p>
    <w:p>
      <w:pPr>
        <w:pStyle w:val="ListBullet"/>
        <w:spacing w:after="0" w:line="240" w:lineRule="auto"/>
      </w:pPr>
      <w:r>
        <w:t>Transaction ingestion and retrieval APIs.</w:t>
      </w:r>
    </w:p>
    <w:p>
      <w:pPr>
        <w:pStyle w:val="ListBullet"/>
        <w:spacing w:after="0" w:line="240" w:lineRule="auto"/>
      </w:pPr>
      <w:r>
        <w:t>Fraud Rule Engine and rule registry/plugin architecture.</w:t>
      </w:r>
    </w:p>
    <w:p>
      <w:pPr>
        <w:pStyle w:val="ListBullet"/>
        <w:spacing w:after="0" w:line="240" w:lineRule="auto"/>
      </w:pPr>
      <w:r>
        <w:t>Mandatory rules: transaction velocity, unusual transaction amount, and impossible geographical location.</w:t>
      </w:r>
    </w:p>
    <w:p>
      <w:pPr>
        <w:pStyle w:val="ListBullet"/>
        <w:spacing w:after="0" w:line="240" w:lineRule="auto"/>
      </w:pPr>
      <w:r>
        <w:t>Context-aware business rules such as merchant category, expected transaction range, business operating hours, and merchant historical behavior.</w:t>
      </w:r>
    </w:p>
    <w:p>
      <w:pPr>
        <w:pStyle w:val="ListBullet"/>
        <w:spacing w:after="0" w:line="240" w:lineRule="auto"/>
      </w:pPr>
      <w:r>
        <w:t>Risk scoring, severity calculation, and fraud-flag creation.</w:t>
      </w:r>
    </w:p>
    <w:p>
      <w:pPr>
        <w:pStyle w:val="ListBullet"/>
        <w:spacing w:after="0" w:line="240" w:lineRule="auto"/>
      </w:pPr>
      <w:r>
        <w:t>Backend interfaces consumed by the React console and the investigation orchestrator.</w:t>
      </w:r>
    </w:p>
    <w:p>
      <w:pPr>
        <w:pStyle w:val="Heading2"/>
        <w:spacing w:before="100" w:after="40"/>
      </w:pPr>
      <w:r>
        <w:t>Primary deliverables</w:t>
      </w:r>
    </w:p>
    <w:p>
      <w:pPr>
        <w:pStyle w:val="ListBullet"/>
        <w:spacing w:after="0" w:line="240" w:lineRule="auto"/>
      </w:pPr>
      <w:r>
        <w:t>Transaction → context enrichment → rules → risk score → fraud flag/case pipeline.</w:t>
      </w:r>
    </w:p>
    <w:p>
      <w:pPr>
        <w:pStyle w:val="ListBullet"/>
        <w:spacing w:after="0" w:line="240" w:lineRule="auto"/>
      </w:pPr>
      <w:r>
        <w:t>Extensible rule interface that allows a new rule to be added without changing the core RuleEngine.</w:t>
      </w:r>
    </w:p>
    <w:p>
      <w:pPr>
        <w:pStyle w:val="ListBullet"/>
        <w:spacing w:after="0" w:line="240" w:lineRule="auto"/>
      </w:pPr>
      <w:r>
        <w:t>Documented API contract for transactions, cases, flags, rules, and reviews.</w:t>
      </w:r>
    </w:p>
    <w:p>
      <w:pPr>
        <w:pStyle w:val="Heading2"/>
        <w:spacing w:before="100" w:after="40"/>
      </w:pPr>
      <w:r>
        <w:t>Acceptance checks</w:t>
      </w:r>
    </w:p>
    <w:p>
      <w:pPr>
        <w:pStyle w:val="ListBullet"/>
        <w:spacing w:after="0" w:line="240" w:lineRule="auto"/>
      </w:pPr>
      <w:r>
        <w:t>₹10,00,000 at a gold merchant and ₹10,00,000 at a fuel station produce different business-context risk.</w:t>
      </w:r>
    </w:p>
    <w:p>
      <w:pPr>
        <w:pStyle w:val="ListBullet"/>
        <w:spacing w:after="0" w:line="240" w:lineRule="auto"/>
      </w:pPr>
      <w:r>
        <w:t>A velocity violation is detected deterministically.</w:t>
      </w:r>
    </w:p>
    <w:p>
      <w:pPr>
        <w:pStyle w:val="ListBullet"/>
        <w:spacing w:after="0" w:line="240" w:lineRule="auto"/>
      </w:pPr>
      <w:r>
        <w:t>Impossible travel is calculated from location and time, not guessed by an LLM.</w:t>
      </w:r>
    </w:p>
    <w:p>
      <w:pPr>
        <w:pStyle w:val="ListBullet"/>
        <w:spacing w:after="0" w:line="240" w:lineRule="auto"/>
      </w:pPr>
      <w:r>
        <w:t>A new rule can be plugged in without editing the core engine.</w:t>
      </w:r>
    </w:p>
    <w:p>
      <w:pPr>
        <w:pStyle w:val="Heading1"/>
        <w:spacing w:before="160" w:after="60"/>
      </w:pPr>
      <w:r>
        <w:t>3. Member 2 — Agentic Investigation System</w:t>
      </w:r>
    </w:p>
    <w:p>
      <w:r>
        <w:rPr>
          <w:b/>
        </w:rPr>
        <w:t xml:space="preserve">Primary mission: </w:t>
      </w:r>
      <w:r>
        <w:t>Own the autonomous investigation after a transaction becomes sufficiently suspicious.</w:t>
      </w:r>
    </w:p>
    <w:p>
      <w:pPr>
        <w:pStyle w:val="Heading2"/>
        <w:spacing w:before="100" w:after="40"/>
      </w:pPr>
      <w:r>
        <w:t>Responsibilities</w:t>
      </w:r>
    </w:p>
    <w:p>
      <w:pPr>
        <w:pStyle w:val="ListBullet"/>
        <w:spacing w:after="0" w:line="240" w:lineRule="auto"/>
      </w:pPr>
      <w:r>
        <w:t>LangGraph investigation orchestrator and investigation state.</w:t>
      </w:r>
    </w:p>
    <w:p>
      <w:pPr>
        <w:pStyle w:val="ListBullet"/>
        <w:spacing w:after="0" w:line="240" w:lineRule="auto"/>
      </w:pPr>
      <w:r>
        <w:t>Behavioral analysis capability: customer history, spending deviation, recent behavior, previous fraud activity.</w:t>
      </w:r>
    </w:p>
    <w:p>
      <w:pPr>
        <w:pStyle w:val="ListBullet"/>
        <w:spacing w:after="0" w:line="240" w:lineRule="auto"/>
      </w:pPr>
      <w:r>
        <w:t>Business-context analysis capability: merchant behavior, transaction distribution, business hours, and category plausibility.</w:t>
      </w:r>
    </w:p>
    <w:p>
      <w:pPr>
        <w:pStyle w:val="ListBullet"/>
        <w:spacing w:after="0" w:line="240" w:lineRule="auto"/>
      </w:pPr>
      <w:r>
        <w:t>Relationship analysis capability: linked customers, devices, IPs, merchants, and suspicious transaction clusters.</w:t>
      </w:r>
    </w:p>
    <w:p>
      <w:pPr>
        <w:pStyle w:val="ListBullet"/>
        <w:spacing w:after="0" w:line="240" w:lineRule="auto"/>
      </w:pPr>
      <w:r>
        <w:t>Evidence builder that converts trusted system findings into a structured evidence pack.</w:t>
      </w:r>
    </w:p>
    <w:p>
      <w:pPr>
        <w:pStyle w:val="ListBullet"/>
        <w:spacing w:after="0" w:line="240" w:lineRule="auto"/>
      </w:pPr>
      <w:r>
        <w:t>Recommendation capability that produces actions such as ALLOW, MONITOR, HOLD_FOR_REVIEW, or ESCALATE.</w:t>
      </w:r>
    </w:p>
    <w:p>
      <w:pPr>
        <w:pStyle w:val="ListBullet"/>
        <w:spacing w:after="0" w:line="240" w:lineRule="auto"/>
      </w:pPr>
      <w:r>
        <w:t>Agent activity timeline and human handoff logic.</w:t>
      </w:r>
    </w:p>
    <w:p>
      <w:pPr>
        <w:pStyle w:val="ListBullet"/>
        <w:spacing w:after="0" w:line="240" w:lineRule="auto"/>
      </w:pPr>
      <w:r>
        <w:t>Agent audit trail: steps executed, tools called, findings, recommendation, and final human decision.</w:t>
      </w:r>
    </w:p>
    <w:p>
      <w:pPr>
        <w:pStyle w:val="Heading2"/>
        <w:spacing w:before="100" w:after="40"/>
      </w:pPr>
      <w:r>
        <w:t>Important implementation boundary</w:t>
      </w:r>
    </w:p>
    <w:p>
      <w:r>
        <w:rPr>
          <w:b/>
        </w:rPr>
        <w:t xml:space="preserve">The agent does not replace deterministic fraud rules. </w:t>
      </w:r>
      <w:r>
        <w:t>The Rule Engine computes trusted facts; the investigation workflow decides which analyses to run, combines evidence, and creates a reviewer-facing explanation.</w:t>
      </w:r>
    </w:p>
    <w:p>
      <w:pPr>
        <w:pStyle w:val="Heading2"/>
        <w:spacing w:before="100" w:after="40"/>
      </w:pPr>
      <w:r>
        <w:t>Acceptance checks</w:t>
      </w:r>
    </w:p>
    <w:p>
      <w:pPr>
        <w:pStyle w:val="ListBullet"/>
        <w:spacing w:after="0" w:line="240" w:lineRule="auto"/>
      </w:pPr>
      <w:r>
        <w:t>A HIGH/CRITICAL case can trigger an investigation workflow and produce a completed evidence pack.</w:t>
      </w:r>
    </w:p>
    <w:p>
      <w:pPr>
        <w:pStyle w:val="ListBullet"/>
        <w:spacing w:after="0" w:line="240" w:lineRule="auto"/>
      </w:pPr>
      <w:r>
        <w:t>The agent can inspect at least customer history, merchant context, and related activity.</w:t>
      </w:r>
    </w:p>
    <w:p>
      <w:pPr>
        <w:pStyle w:val="ListBullet"/>
        <w:spacing w:after="0" w:line="240" w:lineRule="auto"/>
      </w:pPr>
      <w:r>
        <w:t>Every material agent step is auditable.</w:t>
      </w:r>
    </w:p>
    <w:p>
      <w:pPr>
        <w:pStyle w:val="ListBullet"/>
        <w:spacing w:after="0" w:line="240" w:lineRule="auto"/>
      </w:pPr>
      <w:r>
        <w:t>The agent can stop and hand control to a human when confidence or risk policy requires it.</w:t>
      </w:r>
    </w:p>
    <w:p>
      <w:pPr>
        <w:pStyle w:val="Heading1"/>
        <w:spacing w:before="160" w:after="60"/>
      </w:pPr>
      <w:r>
        <w:t>4. Member 3 — Frontend + Reviewer Experience</w:t>
      </w:r>
    </w:p>
    <w:p>
      <w:r>
        <w:rPr>
          <w:b/>
        </w:rPr>
        <w:t xml:space="preserve">Primary mission: </w:t>
      </w:r>
      <w:r>
        <w:t>Own the complete fraud analyst experience from alert queue to final decision.</w:t>
      </w:r>
    </w:p>
    <w:p>
      <w:pPr>
        <w:pStyle w:val="Heading2"/>
        <w:spacing w:before="100" w:after="40"/>
      </w:pPr>
      <w:r>
        <w:t>Responsibilities</w:t>
      </w:r>
    </w:p>
    <w:p>
      <w:pPr>
        <w:pStyle w:val="ListBullet"/>
        <w:spacing w:after="0" w:line="240" w:lineRule="auto"/>
      </w:pPr>
      <w:r>
        <w:t>React + TypeScript + Vite application shell and design system.</w:t>
      </w:r>
    </w:p>
    <w:p>
      <w:pPr>
        <w:pStyle w:val="ListBullet"/>
        <w:spacing w:after="0" w:line="240" w:lineRule="auto"/>
      </w:pPr>
      <w:r>
        <w:t>FraudOps Command Center dashboard.</w:t>
      </w:r>
    </w:p>
    <w:p>
      <w:pPr>
        <w:pStyle w:val="ListBullet"/>
        <w:spacing w:after="0" w:line="240" w:lineRule="auto"/>
      </w:pPr>
      <w:r>
        <w:t>Flagged transaction/case queue with filtering by severity, status, merchant, rule, and date.</w:t>
      </w:r>
    </w:p>
    <w:p>
      <w:pPr>
        <w:pStyle w:val="ListBullet"/>
        <w:spacing w:after="0" w:line="240" w:lineRule="auto"/>
      </w:pPr>
      <w:r>
        <w:t>Transaction and case detail pages.</w:t>
      </w:r>
    </w:p>
    <w:p>
      <w:pPr>
        <w:pStyle w:val="ListBullet"/>
        <w:spacing w:after="0" w:line="240" w:lineRule="auto"/>
      </w:pPr>
      <w:r>
        <w:t>Evidence presentation, rule results, customer context, merchant context, and related activity.</w:t>
      </w:r>
    </w:p>
    <w:p>
      <w:pPr>
        <w:pStyle w:val="ListBullet"/>
        <w:spacing w:after="0" w:line="240" w:lineRule="auto"/>
      </w:pPr>
      <w:r>
        <w:t>Agent investigation timeline showing automated steps in a clear sequence.</w:t>
      </w:r>
    </w:p>
    <w:p>
      <w:pPr>
        <w:pStyle w:val="ListBullet"/>
        <w:spacing w:after="0" w:line="240" w:lineRule="auto"/>
      </w:pPr>
      <w:r>
        <w:t>Reviewer actions: Clear, Confirm Fraud, Escalate, and Mark Reviewed where appropriate.</w:t>
      </w:r>
    </w:p>
    <w:p>
      <w:pPr>
        <w:pStyle w:val="ListBullet"/>
        <w:spacing w:after="0" w:line="240" w:lineRule="auto"/>
      </w:pPr>
      <w:r>
        <w:t>Rule management UI for authorized users.</w:t>
      </w:r>
    </w:p>
    <w:p>
      <w:pPr>
        <w:pStyle w:val="ListBullet"/>
        <w:spacing w:after="0" w:line="240" w:lineRule="auto"/>
      </w:pPr>
      <w:r>
        <w:t>Fraud relationship graph/visualization for connected entities.</w:t>
      </w:r>
    </w:p>
    <w:p>
      <w:pPr>
        <w:pStyle w:val="Heading2"/>
        <w:spacing w:before="100" w:after="40"/>
      </w:pPr>
      <w:r>
        <w:t>UX principle</w:t>
      </w:r>
    </w:p>
    <w:p>
      <w:r>
        <w:rPr>
          <w:b/>
        </w:rPr>
        <w:t xml:space="preserve">The reviewer should receive an already-investigated case, not a raw alert. </w:t>
      </w:r>
      <w:r>
        <w:t>The UI should answer three questions immediately: What happened? Why is it suspicious? What should I do next?</w:t>
      </w:r>
    </w:p>
    <w:p>
      <w:pPr>
        <w:pStyle w:val="Heading2"/>
        <w:spacing w:before="100" w:after="40"/>
      </w:pPr>
      <w:r>
        <w:t>Acceptance checks</w:t>
      </w:r>
    </w:p>
    <w:p>
      <w:pPr>
        <w:pStyle w:val="ListBullet"/>
        <w:spacing w:after="0" w:line="240" w:lineRule="auto"/>
      </w:pPr>
      <w:r>
        <w:t>A reviewer can open a critical case and see score, rules, evidence, related activity, recommendation, and actions in one workflow.</w:t>
      </w:r>
    </w:p>
    <w:p>
      <w:pPr>
        <w:pStyle w:val="ListBullet"/>
        <w:spacing w:after="0" w:line="240" w:lineRule="auto"/>
      </w:pPr>
      <w:r>
        <w:t>The UI never recomputes risk or fraud logic locally; it consumes backend truth.</w:t>
      </w:r>
    </w:p>
    <w:p>
      <w:pPr>
        <w:pStyle w:val="ListBullet"/>
        <w:spacing w:after="0" w:line="240" w:lineRule="auto"/>
      </w:pPr>
      <w:r>
        <w:t>Agent activity is visible without exposing internal chain-of-thought or hidden reasoning.</w:t>
      </w:r>
    </w:p>
    <w:p>
      <w:pPr>
        <w:pStyle w:val="Heading1"/>
        <w:spacing w:before="160" w:after="60"/>
      </w:pPr>
      <w:r>
        <w:t>5. Member 4 — Database + AWS + Integration + QA</w:t>
      </w:r>
    </w:p>
    <w:p>
      <w:r>
        <w:rPr>
          <w:b/>
        </w:rPr>
        <w:t xml:space="preserve">Primary mission: </w:t>
      </w:r>
      <w:r>
        <w:t>Own data persistence, cloud notifications, environment setup, integration reliability, and end-to-end validation.</w:t>
      </w:r>
    </w:p>
    <w:p>
      <w:pPr>
        <w:pStyle w:val="Heading2"/>
        <w:spacing w:before="100" w:after="40"/>
      </w:pPr>
      <w:r>
        <w:t>Responsibilities</w:t>
      </w:r>
    </w:p>
    <w:p>
      <w:pPr>
        <w:pStyle w:val="ListBullet"/>
        <w:spacing w:after="0" w:line="240" w:lineRule="auto"/>
      </w:pPr>
      <w:r>
        <w:t>PostgreSQL schema, SQLAlchemy models, migrations, indexes, and seed data.</w:t>
      </w:r>
    </w:p>
    <w:p>
      <w:pPr>
        <w:pStyle w:val="ListBullet"/>
        <w:spacing w:after="0" w:line="240" w:lineRule="auto"/>
      </w:pPr>
      <w:r>
        <w:t>Core entities: users, customers, merchants, transactions, rules, rule results, fraud cases, evidence, review actions, devices, and IP activity where needed.</w:t>
      </w:r>
    </w:p>
    <w:p>
      <w:pPr>
        <w:pStyle w:val="ListBullet"/>
        <w:spacing w:after="0" w:line="240" w:lineRule="auto"/>
      </w:pPr>
      <w:r>
        <w:t>AWS SES email notifications and AWS SNS event notifications.</w:t>
      </w:r>
    </w:p>
    <w:p>
      <w:pPr>
        <w:pStyle w:val="ListBullet"/>
        <w:spacing w:after="0" w:line="240" w:lineRule="auto"/>
      </w:pPr>
      <w:r>
        <w:t>Environment configuration, secrets wiring, Docker setup, and local developer setup.</w:t>
      </w:r>
    </w:p>
    <w:p>
      <w:pPr>
        <w:pStyle w:val="ListBullet"/>
        <w:spacing w:after="0" w:line="240" w:lineRule="auto"/>
      </w:pPr>
      <w:r>
        <w:t>Integration harness connecting frontend, backend, database, agent workflow, and notifications.</w:t>
      </w:r>
    </w:p>
    <w:p>
      <w:pPr>
        <w:pStyle w:val="ListBullet"/>
        <w:spacing w:after="0" w:line="240" w:lineRule="auto"/>
      </w:pPr>
      <w:r>
        <w:t>End-to-end QA and demo scenario data.</w:t>
      </w:r>
    </w:p>
    <w:p>
      <w:pPr>
        <w:pStyle w:val="ListBullet"/>
        <w:spacing w:after="0" w:line="240" w:lineRule="auto"/>
      </w:pPr>
      <w:r>
        <w:t>Regression testing for the complete critical fraud journey.</w:t>
      </w:r>
    </w:p>
    <w:p>
      <w:pPr>
        <w:pStyle w:val="Heading2"/>
        <w:spacing w:before="100" w:after="40"/>
      </w:pPr>
      <w:r>
        <w:t>Acceptance checks</w:t>
      </w:r>
    </w:p>
    <w:p>
      <w:pPr>
        <w:pStyle w:val="ListBullet"/>
        <w:spacing w:after="0" w:line="240" w:lineRule="auto"/>
      </w:pPr>
      <w:r>
        <w:t>Fresh setup can create the database and seed the demo dataset.</w:t>
      </w:r>
    </w:p>
    <w:p>
      <w:pPr>
        <w:pStyle w:val="ListBullet"/>
        <w:spacing w:after="0" w:line="240" w:lineRule="auto"/>
      </w:pPr>
      <w:r>
        <w:t>High/critical threshold produces the configured SES/SNS notification path.</w:t>
      </w:r>
    </w:p>
    <w:p>
      <w:pPr>
        <w:pStyle w:val="ListBullet"/>
        <w:spacing w:after="0" w:line="240" w:lineRule="auto"/>
      </w:pPr>
      <w:r>
        <w:t>The complete transaction → fraud → investigation → review journey runs against PostgreSQL.</w:t>
      </w:r>
    </w:p>
    <w:p>
      <w:pPr>
        <w:pStyle w:val="ListBullet"/>
        <w:spacing w:after="0" w:line="240" w:lineRule="auto"/>
      </w:pPr>
      <w:r>
        <w:t>The six core demo scenarios pass before presentation.</w:t>
      </w:r>
    </w:p>
    <w:p>
      <w:pPr>
        <w:pStyle w:val="Heading1"/>
        <w:spacing w:before="160" w:after="60"/>
      </w:pPr>
      <w:r>
        <w:t>6. Critical Interfaces Between Members</w:t>
      </w:r>
    </w:p>
    <w:p>
      <w:r>
        <w:t>The team must agree on these contracts before parallel implementation. Breaking them late creates avoidable rework.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3B5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3408"/>
            <w:vAlign w:val="center"/>
            <w:shd w:fill="153B5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Owner → Consumer</w:t>
            </w:r>
          </w:p>
        </w:tc>
        <w:tc>
          <w:tcPr>
            <w:tcW w:type="dxa" w:w="3408"/>
            <w:vAlign w:val="center"/>
            <w:shd w:fill="153B5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Contract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Fraud Result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M1 → M2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Transaction ID, risk score, triggered rules, structured evidence, context signals.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 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M1 → M3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REST endpoints for transactions, cases, flags, rules, reviews, and dashboard data.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 Result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M2 → M3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Investigation status, findings, evidence, related entities, recommendation, confidence.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 Contract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M4 → M1/M2/M3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Schema, IDs, enums/statuses, relationships, seed data, migrations.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Notification Contract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M4 → M1/M2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Input event, severity threshold, recipient/topic, delivery status.</w:t>
            </w:r>
          </w:p>
        </w:tc>
      </w:tr>
    </w:tbl>
    <w:p>
      <w:pPr>
        <w:pStyle w:val="Heading1"/>
        <w:spacing w:before="160" w:after="60"/>
      </w:pPr>
      <w:r>
        <w:t>7. Shared API Boundaries</w:t>
      </w:r>
    </w:p>
    <w:p>
      <w:r>
        <w:rPr>
          <w:b/>
        </w:rPr>
        <w:t xml:space="preserve">Minimum shared endpoints: </w:t>
      </w:r>
      <w:r>
        <w:t>POST /transactions; GET /transactions/:id; GET /cases; GET /cases/:id; PATCH /cases/:id/review; GET /rules; POST/PATCH /rules; GET /dashboard/stats.</w:t>
      </w:r>
    </w:p>
    <w:p>
      <w:pPr>
        <w:pStyle w:val="Heading1"/>
        <w:spacing w:before="160" w:after="60"/>
      </w:pPr>
      <w:r>
        <w:t>8. Delivery Phases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53B5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045"/>
            <w:vAlign w:val="center"/>
            <w:shd w:fill="153B5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Member 1</w:t>
            </w:r>
          </w:p>
        </w:tc>
        <w:tc>
          <w:tcPr>
            <w:tcW w:type="dxa" w:w="2045"/>
            <w:vAlign w:val="center"/>
            <w:shd w:fill="153B5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Member 2</w:t>
            </w:r>
          </w:p>
        </w:tc>
        <w:tc>
          <w:tcPr>
            <w:tcW w:type="dxa" w:w="2045"/>
            <w:vAlign w:val="center"/>
            <w:shd w:fill="153B5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Member 3</w:t>
            </w:r>
          </w:p>
        </w:tc>
        <w:tc>
          <w:tcPr>
            <w:tcW w:type="dxa" w:w="2045"/>
            <w:vAlign w:val="center"/>
            <w:shd w:fill="153B5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Member 4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1 — Foundation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API + rule interface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Agent skeleton + mock input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UI shell + mock data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PostgreSQL schema + seed data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2 — Connect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Real rules + risk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Real investigation workflow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Real API integration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DB + env + AWS wiring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3 — Differentiate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Business-context risk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Relationship + evidence + recommendation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Timeline + fraud graph + review flow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SES/SNS + integration tests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4 — Freeze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Bug fixes only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Bug fixes only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Bug fixes only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End-to-end QA + demo rehearsal</w:t>
            </w:r>
          </w:p>
        </w:tc>
      </w:tr>
    </w:tbl>
    <w:p>
      <w:pPr>
        <w:pStyle w:val="Heading1"/>
        <w:spacing w:before="160" w:after="60"/>
      </w:pPr>
      <w:r>
        <w:t>9. Required End-to-End Demo Scenarios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3B5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08"/>
            <w:vAlign w:val="center"/>
            <w:shd w:fill="153B5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Setup</w:t>
            </w:r>
          </w:p>
        </w:tc>
        <w:tc>
          <w:tcPr>
            <w:tcW w:type="dxa" w:w="3408"/>
            <w:vAlign w:val="center"/>
            <w:shd w:fill="153B5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Normal transaction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₹2,000 restaurant transaction; normal behavior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 / no urgent case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Business context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₹10,00,000 gold merchant transaction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Context can remain plausible depending on merchant profile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Business mismatch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₹10,00,000 fuel station transaction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 merchant-context anomaly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Velocity fraud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 transactions within configured window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Velocity rule triggers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Impossible travel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Hyderabad → London in implausibly short interval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Geographic anomaly triggers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Combined fraud case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 amount + velocity + geo + linked entities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CRITICAL → investigation → evidence → recommendation → notification → human decision</w:t>
            </w:r>
          </w:p>
        </w:tc>
      </w:tr>
    </w:tbl>
    <w:p>
      <w:pPr>
        <w:pStyle w:val="Heading1"/>
        <w:spacing w:before="160" w:after="60"/>
      </w:pPr>
      <w:r>
        <w:t>10. Team Operating Rules</w:t>
      </w:r>
    </w:p>
    <w:p>
      <w:pPr>
        <w:pStyle w:val="ListBullet"/>
        <w:spacing w:after="0" w:line="240" w:lineRule="auto"/>
      </w:pPr>
      <w:r>
        <w:t>Each member is the primary owner for their subsystem, but all members must understand the end-to-end flow.</w:t>
      </w:r>
    </w:p>
    <w:p>
      <w:pPr>
        <w:pStyle w:val="ListBullet"/>
        <w:spacing w:after="0" w:line="240" w:lineRule="auto"/>
      </w:pPr>
      <w:r>
        <w:t>Use feature branches and short pull requests; do not directly rewrite another member’s subsystem without agreement.</w:t>
      </w:r>
    </w:p>
    <w:p>
      <w:pPr>
        <w:pStyle w:val="ListBullet"/>
        <w:spacing w:after="0" w:line="240" w:lineRule="auto"/>
      </w:pPr>
      <w:r>
        <w:t>Treat API/schema contracts as shared boundaries. Changes require a team check before merge.</w:t>
      </w:r>
    </w:p>
    <w:p>
      <w:pPr>
        <w:pStyle w:val="ListBullet"/>
        <w:spacing w:after="0" w:line="240" w:lineRule="auto"/>
      </w:pPr>
      <w:r>
        <w:t>No new infrastructure or libraries unless they solve a demonstrated problem in the current scope.</w:t>
      </w:r>
    </w:p>
    <w:p>
      <w:pPr>
        <w:pStyle w:val="ListBullet"/>
        <w:spacing w:after="0" w:line="240" w:lineRule="auto"/>
      </w:pPr>
      <w:r>
        <w:t>Each subsystem owner writes tests for their own logic; Member 4 owns the final integration/regression suite.</w:t>
      </w:r>
    </w:p>
    <w:p>
      <w:pPr>
        <w:pStyle w:val="ListBullet"/>
        <w:spacing w:after="0" w:line="240" w:lineRule="auto"/>
      </w:pPr>
      <w:r>
        <w:t>The final day is for stabilization and demo rehearsal, not feature expansion.</w:t>
      </w:r>
    </w:p>
    <w:p>
      <w:pPr>
        <w:pStyle w:val="Heading1"/>
        <w:spacing w:before="160" w:after="60"/>
      </w:pPr>
      <w:r>
        <w:t>11. Definition of Done</w:t>
      </w:r>
    </w:p>
    <w:p>
      <w:pPr>
        <w:pStyle w:val="ListBullet"/>
        <w:spacing w:after="0" w:line="240" w:lineRule="auto"/>
      </w:pPr>
      <w:r>
        <w:t>Mandatory hackathon requirements are implemented and demonstrable.</w:t>
      </w:r>
    </w:p>
    <w:p>
      <w:pPr>
        <w:pStyle w:val="ListBullet"/>
        <w:spacing w:after="0" w:line="240" w:lineRule="auto"/>
      </w:pPr>
      <w:r>
        <w:t>Business-context intelligence is visible in at least one end-to-end scenario.</w:t>
      </w:r>
    </w:p>
    <w:p>
      <w:pPr>
        <w:pStyle w:val="ListBullet"/>
        <w:spacing w:after="0" w:line="240" w:lineRule="auto"/>
      </w:pPr>
      <w:r>
        <w:t>Agentic investigation produces a structured evidence pack and recommendation.</w:t>
      </w:r>
    </w:p>
    <w:p>
      <w:pPr>
        <w:pStyle w:val="ListBullet"/>
        <w:spacing w:after="0" w:line="240" w:lineRule="auto"/>
      </w:pPr>
      <w:r>
        <w:t>Reviewer can make the final case decision from the React console.</w:t>
      </w:r>
    </w:p>
    <w:p>
      <w:pPr>
        <w:pStyle w:val="ListBullet"/>
        <w:spacing w:after="0" w:line="240" w:lineRule="auto"/>
      </w:pPr>
      <w:r>
        <w:t>High-risk notification reaches AWS SES/SNS path.</w:t>
      </w:r>
    </w:p>
    <w:p>
      <w:pPr>
        <w:pStyle w:val="ListBullet"/>
        <w:spacing w:after="0" w:line="240" w:lineRule="auto"/>
      </w:pPr>
      <w:r>
        <w:t>PostgreSQL contains the persistent source of truth for transactions, flags, cases, evidence, and reviews.</w:t>
      </w:r>
    </w:p>
    <w:p>
      <w:pPr>
        <w:pStyle w:val="ListBullet"/>
        <w:spacing w:after="0" w:line="240" w:lineRule="auto"/>
      </w:pPr>
      <w:r>
        <w:t>The complete demo flow works from a clean environment using the team seed data.</w:t>
      </w:r>
    </w:p>
    <w:p>
      <w:pPr>
        <w:pStyle w:val="Callout"/>
        <w:jc w:val="center"/>
      </w:pPr>
      <w:r>
        <w:t>Team mantra: Build in parallel. Integrate early. Freeze before the demo.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FraudOps — Internal Engineering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FraudOps | Team Work Division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