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12</w:t>
        <w:br/>
        <w:br/>
        <w:t xml:space="preserve">                              AFFILIATE AGREEMENT</w:t>
        <w:br/>
        <w:br/>
        <w:t xml:space="preserve">     THIS AFFILIATE AGREEMENT (this "Agreement") is made and entered into as of</w:t>
        <w:br/>
        <w:t>[___________], 2001, among iPrint Technologies, Inc., a Delaware corporation</w:t>
        <w:br/>
        <w:t>("iPrint") and the undersigned shareholder who may be deemed an affiliate</w:t>
        <w:br/>
        <w:t>("Affiliate") of Wood Alliance, Inc., a California corporation ("Wood").</w:t>
        <w:br/>
        <w:t>Capitalized terms used but not otherwise defined herein shall have the meanings</w:t>
        <w:br/>
        <w:t>ascribed to them in the Combination Agreement (as defined below).</w:t>
        <w:br/>
        <w:br/>
        <w:t xml:space="preserve">                                    RECITALS</w:t>
        <w:br/>
        <w:t xml:space="preserve">                                    --------</w:t>
        <w:br/>
        <w:br/>
        <w:t xml:space="preserve">     X.  Xxxx, iPrint and Sub (as defined below) have entered into Combination</w:t>
        <w:br/>
        <w:t>and Reorganization Agreement dated as of June 23, 2001 (the "Combination</w:t>
        <w:br/>
        <w:t>Agreement") which provides for the merger of a wholly-owned subsidiary of iPrint</w:t>
        <w:br/>
        <w:t>("Sub") with and into Wood (the "Combination").  Pursuant to the Combination,</w:t>
        <w:br/>
        <w:t>all outstanding common stock of Wood (the "Wood Common Stock") shall be</w:t>
        <w:br/>
        <w:t>converted into the right to receive common stock of iPrint;</w:t>
        <w:br/>
        <w:br/>
        <w:t xml:space="preserve">     B.  Affiliate has been advised that Affiliate may be deemed to be an</w:t>
        <w:br/>
        <w:t>"affiliate" of Wood, as the term "affiliate" is used for purposes of Rule 144 of</w:t>
        <w:br/>
        <w:t>the Rules and Regulations (the "Rules and Regulations") of the Securities and</w:t>
        <w:br/>
        <w:t>Exchange Commission (the "Commission"); and</w:t>
        <w:br/>
        <w:br/>
        <w:t xml:space="preserve">     C.  The execution and delivery of this Agreement by Affiliate is a material</w:t>
        <w:br/>
        <w:t>inducement to iPrint to enter into the Combination Agreement.</w:t>
        <w:br/>
        <w:br/>
        <w:t xml:space="preserve">     NOW, THEREFORE, intending to be legally bound, the parties hereto agree as</w:t>
        <w:br/>
        <w:t>follows.</w:t>
        <w:br/>
        <w:br/>
        <w:t xml:space="preserve">     1. Acknowledgments by Affiliate. Affiliate acknowledges and understands</w:t>
        <w:br/>
        <w:t xml:space="preserve">        ----------------------------</w:t>
        <w:br/>
        <w:t>that the representations, warranties and covenants by Affiliate set forth herein</w:t>
        <w:br/>
        <w:t>shall be relied upon by iPrint, Wood and their respective affiliates and</w:t>
        <w:br/>
        <w:t>counsel, and that substantial losses and damages may be incurred by these</w:t>
        <w:br/>
        <w:t>persons if Affiliate's representations, warranties or covenants are breached.</w:t>
        <w:br/>
        <w:t>Affiliate has carefully read this Agreement and the Combination Agreement and</w:t>
        <w:br/>
        <w:t>has discussed the requirements of this Agreement with Affiliate's professional</w:t>
        <w:br/>
        <w:t>advisors, who are qualified to advise Affiliate with regard to such matters.</w:t>
        <w:br/>
        <w:br/>
        <w:t xml:space="preserve">     2. Beneficial Ownership of Wood Common Stock. The Affiliate is the</w:t>
        <w:br/>
        <w:t xml:space="preserve">        -----------------------------------------</w:t>
        <w:br/>
        <w:t>beneficial owner of shares of Wood Common Stock (the "Shares"). The Shares are</w:t>
        <w:br/>
        <w:t>not subject to any claim, lien, pledge, charge, security interest or other</w:t>
        <w:br/>
        <w:t>encumbrance or to any rights of first refusal of any kind. There are no options,</w:t>
        <w:br/>
        <w:t>warrants, calls, rights, commitments or agreements of any character, written or</w:t>
        <w:br/>
        <w:t>oral, to which the Affiliate is party or by which it is bound obligating the</w:t>
        <w:br/>
        <w:t>Affiliate to issue, deliver, sell, repurchase or redeem, or cause to be issued,</w:t>
        <w:br/>
        <w:t>delivered, sold, repurchased or redeemed, any Shares or obligating the Affiliate</w:t>
        <w:br/>
        <w:t>to grant or enter into any such option, warrant, call, right, commitment or</w:t>
        <w:br/>
        <w:t>agreement. The Affiliate has the sole right to transfer such Shares. The Shares</w:t>
        <w:br/>
        <w:t>are not subject to preemptive rights created by any agreement to which the</w:t>
        <w:br/>
        <w:t>Affiliate is party. All shares of Wood Common Stock and common stock of iPrint</w:t>
        <w:br/>
        <w:t>acquired by Affiliate in the Combination ("iPrint Common Stock") shall be</w:t>
        <w:br/>
        <w:t>subject to the provisions of this Agreement as if held by Affiliate as of the</w:t>
        <w:br/>
        <w:t>date hereof.</w:t>
        <w:br/>
        <w:br/>
        <w:t xml:space="preserve">                                       1</w:t>
        <w:br/>
        <w:br/>
        <w:br/>
        <w:t xml:space="preserve">     3. Compliance with Rule 145 and the Securities Act.</w:t>
        <w:br/>
        <w:t xml:space="preserve">        -----------------------------------------------</w:t>
        <w:br/>
        <w:br/>
        <w:t xml:space="preserve">          (a) Affiliate has been advised that (i) the issuance of shares of</w:t>
        <w:br/>
        <w:t>iPrint Common Stock in connection with the Combination is expected to be</w:t>
        <w:br/>
        <w:t>registered with the Commission under the Securities Act of 1933, as amended (the</w:t>
        <w:br/>
        <w:t>"Securities Act"), and the resale of such shares shall be subject to</w:t>
        <w:br/>
        <w:t>restrictions set forth in Rule 145 promulgated under the Securities Act, and</w:t>
        <w:br/>
        <w:t>(ii) Affiliate may be deemed to be an affiliate of Wood. Affiliate accordingly</w:t>
        <w:br/>
        <w:t>agrees not to sell, transfer or otherwise dispose of any iPrint Common Stock</w:t>
        <w:br/>
        <w:t>issued to Affiliate in the Combination unless (i) such sale, transfer or other</w:t>
        <w:br/>
        <w:t>disposition is made in conformity with the requirements of Rule 145(d)</w:t>
        <w:br/>
        <w:t>promulgated under the Securities Act, (ii) such sale, transfer or other</w:t>
        <w:br/>
        <w:t>disposition is made pursuant to an effective registration statement under the</w:t>
        <w:br/>
        <w:t>Securities Act or an appropriate exemption from registration, (iii) Affiliate</w:t>
        <w:br/>
        <w:t>delivers to iPrint a written opinion of counsel, reasonably acceptable to iPrint</w:t>
        <w:br/>
        <w:t>in form and substance, that such sale, transfer or other disposition is</w:t>
        <w:br/>
        <w:t>otherwise exempt from registration under the Securities Act or (iv) an</w:t>
        <w:br/>
        <w:t>authorized representative of the Commission shall have rendered written advice</w:t>
        <w:br/>
        <w:t>to Affiliate to the effect that the Commission would take no action, or that the</w:t>
        <w:br/>
        <w:t>staff of the Commission would not recommend that the Commission take any action,</w:t>
        <w:br/>
        <w:t>with respect to the proposed disposition if consummated.</w:t>
        <w:br/>
        <w:br/>
        <w:t xml:space="preserve">          (b) iPrint shall give stop transfer instructions to its transfer agent</w:t>
        <w:br/>
        <w:t>with respect to any iPrint Common Stock received by Affiliate pursuant to the</w:t>
        <w:br/>
        <w:t>Combination and there shall be placed on the certificates representing such</w:t>
        <w:br/>
        <w:t>iPrint Common Stock, or any substitutions therefor, a legend stating in</w:t>
        <w:br/>
        <w:t>substance:</w:t>
        <w:br/>
        <w:br/>
        <w:t xml:space="preserve">          "THE SHARES REPRESENTED BY THIS CERTIFICATE WERE ISSUED IN A</w:t>
        <w:br/>
        <w:t xml:space="preserve">          TRANSACTION TO WHICH RULE 145(d) APPLIES AND MAY ONLY BE TRANSFERRED</w:t>
        <w:br/>
        <w:t xml:space="preserve">          IN CONFORMITY WITH RULE 145(d) OR PURSUANT TO AN EFFECTIVE</w:t>
        <w:br/>
        <w:t xml:space="preserve">          REGISTRATION STATEMENT UNDER THE SECURITIES ACT OF 1933, AS AMENDED,</w:t>
        <w:br/>
        <w:t xml:space="preserve">          OR IN ACCORDANCE WITH A WRITTEN OPINION OF COUNSEL, REASONABLY</w:t>
        <w:br/>
        <w:t xml:space="preserve">          ACCEPTABLE TO THE ISSUER IN FORM AND SUBSTANCE, THAT SUCH TRANSFER IS</w:t>
        <w:br/>
        <w:t xml:space="preserve">          EXEMPT FROM REGISTRATION UNDER THE SECURITIES ACT OF 1933, AS</w:t>
        <w:br/>
        <w:t xml:space="preserve">          AMENDED."</w:t>
        <w:br/>
        <w:br/>
        <w:t>The legend set forth above shall be removed (by delivery of a substitute</w:t>
        <w:br/>
        <w:t>certificate without such legend) and iPrint shall so instruct its transfer</w:t>
        <w:br/>
        <w:t>agent, if Affiliate delivers to iPrint (i) satisfactory written evidence that</w:t>
        <w:br/>
        <w:t>the shares have been sold in compliance with Rule 145 (in which case, the</w:t>
        <w:br/>
        <w:t>substitute certificate shall be issued in the name of the transferee), or (ii)</w:t>
        <w:br/>
        <w:t>an opinion of counsel, in form and substance reasonably satisfactory to iPrint,</w:t>
        <w:br/>
        <w:t>to the effect that public sale of the shares by the holder thereof is no longer</w:t>
        <w:br/>
        <w:t>subject to Rule 145.</w:t>
        <w:br/>
        <w:br/>
        <w:t xml:space="preserve">     4. Termination. This Agreement shall be terminated and shall be of no</w:t>
        <w:br/>
        <w:t xml:space="preserve">        -----------</w:t>
        <w:br/>
        <w:t>further force and effect in the event of the termination of the Combination</w:t>
        <w:br/>
        <w:t>Agreement pursuant to Article VIII of the Combination Agreement.</w:t>
        <w:br/>
        <w:br/>
        <w:t xml:space="preserve">                                       2</w:t>
        <w:br/>
        <w:br/>
        <w:br/>
        <w:t xml:space="preserve">     5. Miscellaneous.</w:t>
        <w:br/>
        <w:t xml:space="preserve">        -------------</w:t>
        <w:br/>
        <w:br/>
        <w:t xml:space="preserve">          (a) Waiver: Severability. No waiver by any party hereto of any</w:t>
        <w:br/>
        <w:t xml:space="preserve">              --------------------</w:t>
        <w:br/>
        <w:t>condition or of any breach of any provision of this Agreement shall be effective</w:t>
        <w:br/>
        <w:t>unless in writing and signed by each party hereto. In the event that any</w:t>
        <w:br/>
        <w:t>provision of this Agreement, or the application of any such provision to any</w:t>
        <w:br/>
        <w:t>person, entity or set of circumstances, shall be determined to be invalid,</w:t>
        <w:br/>
        <w:t>unlawful, void or unenforceable to any extent, the remainder of this Agreement,</w:t>
        <w:br/>
        <w:t>and the application of such provision to persons, entities or circumstances</w:t>
        <w:br/>
        <w:t>other than those as to which it is determined to be invalid, unlawful, void or</w:t>
        <w:br/>
        <w:t>unenforceable, shall not be impaired or otherwise affected and shall continue to</w:t>
        <w:br/>
        <w:t>be valid and enforceable to the fullest extent permitted by law.</w:t>
        <w:br/>
        <w:br/>
        <w:t xml:space="preserve">          (b) Binding Effect and Assignment. This Agreement and all of the</w:t>
        <w:br/>
        <w:t xml:space="preserve">              -----------------------------</w:t>
        <w:br/>
        <w:t>provisions hereof shall be binding upon and inure to the benefit of the parties</w:t>
        <w:br/>
        <w:t>hereto and their respective successors and permitted assigns, but, except as</w:t>
        <w:br/>
        <w:t>otherwise specifically provided herein, neither this Agreement nor any of the</w:t>
        <w:br/>
        <w:t>rights, interests or obligations of the parties hereto may be assigned by either</w:t>
        <w:br/>
        <w:t>of the parties without prior written consent of the other party hereto.</w:t>
        <w:br/>
        <w:br/>
        <w:t xml:space="preserve">          (c) Amendments and Modification. This Agreement may not be modified,</w:t>
        <w:br/>
        <w:t xml:space="preserve">              ---------------------------</w:t>
        <w:br/>
        <w:t>amended, altered or supplemented except upon the execution and delivery of a</w:t>
        <w:br/>
        <w:t>written agreement executed by the parties hereto.</w:t>
        <w:br/>
        <w:br/>
        <w:t xml:space="preserve">          (d) Injunctive Relief. Each of the parties acknowledge that (i) the</w:t>
        <w:br/>
        <w:t xml:space="preserve">              -----------------</w:t>
        <w:br/>
        <w:t>covenants and the restrictions contained in this Agreement are necessary,</w:t>
        <w:br/>
        <w:t>fundamental, and required for the protection of iPrint and Wood and to preserve</w:t>
        <w:br/>
        <w:t>for iPrint the benefits of the Combination; (ii) such covenants relate to</w:t>
        <w:br/>
        <w:t>matters which are of a special, unique, and extraordinary character that gives</w:t>
        <w:br/>
        <w:t>each of such covenants a special, unique, and extraordinary value; and (iii) a</w:t>
        <w:br/>
        <w:t>breach of any such covenants or any other provision of this Agreement shall</w:t>
        <w:br/>
        <w:t>result in irreparable harm and damages to iPrint and Wood which cannot be</w:t>
        <w:br/>
        <w:t>adequately compensated by a monetary award. Accordingly, it is expressly agreed</w:t>
        <w:br/>
        <w:t>that in addition to all other remedies available at law or in equity, iPrint and</w:t>
        <w:br/>
        <w:t>Wood shall be entitled to the immediate remedy of a temporary restraining order,</w:t>
        <w:br/>
        <w:t>preliminary injunction, or such other form of injunctive or equitable relief as</w:t>
        <w:br/>
        <w:t>may be used by any court of competent jurisdiction to restrain or enjoin any of</w:t>
        <w:br/>
        <w:t>the parties hereto from breaching any such covenant or provision or to</w:t>
        <w:br/>
        <w:t>specifically enforce the provisions hereof.</w:t>
        <w:br/>
        <w:br/>
        <w:t xml:space="preserve">          (e) Governing Law. This Agreement shall be governed by and construed,</w:t>
        <w:br/>
        <w:t xml:space="preserve">              -------------</w:t>
        <w:br/>
        <w:t>interpreted and enforced in accordance with the internal laws of the State of</w:t>
        <w:br/>
        <w:t>Delaware without giving effect to any choice or conflict of laws provision or</w:t>
        <w:br/>
        <w:t>rule (whether of the State of Delaware or any other jurisdiction) that would</w:t>
        <w:br/>
        <w:t>cause the application of the laws of any jurisdiction other than the State of</w:t>
        <w:br/>
        <w:t>Delaware.</w:t>
        <w:br/>
        <w:br/>
        <w:t xml:space="preserve">          (f) Entire Agreement. This Agreement, the Combination Agreement and</w:t>
        <w:br/>
        <w:t xml:space="preserve">              ----------------</w:t>
        <w:br/>
        <w:t>the other agreements referred to in the Combination Agreement set forth the</w:t>
        <w:br/>
        <w:t>entire understanding of Affiliate and iPrint relating to the subject matter</w:t>
        <w:br/>
        <w:t>hereof and thereof and supersede all prior agreements and understandings between</w:t>
        <w:br/>
        <w:t>Affiliate and iPrint relating to the subject matter hereof and thereof.</w:t>
        <w:br/>
        <w:br/>
        <w:t xml:space="preserve">                                       3</w:t>
        <w:br/>
        <w:br/>
        <w:br/>
        <w:t xml:space="preserve">          (g) Attorneys' Fees. In the event of any legal actions or proceeding</w:t>
        <w:br/>
        <w:t xml:space="preserve">              ---------------</w:t>
        <w:br/>
        <w:t>to enforce or interpret the provisions hereof, the prevailing party shall be</w:t>
        <w:br/>
        <w:t>entitled to reasonable attorneys' fees, whether or not the proceeding results in</w:t>
        <w:br/>
        <w:t>a final judgment.</w:t>
        <w:br/>
        <w:br/>
        <w:t xml:space="preserve">          (h) Further Assurances. Affiliate shall execute and/or cause to be</w:t>
        <w:br/>
        <w:t xml:space="preserve">              ------------------</w:t>
        <w:br/>
        <w:t>delivered to iPrint such instruments and other documents and shall take such</w:t>
        <w:br/>
        <w:t>other actions as iPrint may reasonably request to effectuate the intent and</w:t>
        <w:br/>
        <w:t>purposes of this Agreement.</w:t>
        <w:br/>
        <w:br/>
        <w:t xml:space="preserve">          (i) Third Party Reliance. Counsel to iPrint and Wood shall be entitled</w:t>
        <w:br/>
        <w:t xml:space="preserve">              --------------------</w:t>
        <w:br/>
        <w:t>to rely upon this Affiliate Agreement.</w:t>
        <w:br/>
        <w:br/>
        <w:t xml:space="preserve">          (j) Survival. The representations, warranties, covenants and other</w:t>
        <w:br/>
        <w:t xml:space="preserve">              --------</w:t>
        <w:br/>
        <w:t>provisions contained in this Agreement shall survive the Combination.</w:t>
        <w:br/>
        <w:br/>
        <w:t xml:space="preserve">          (k) Notices. All notices and other communications pursuant to this</w:t>
        <w:br/>
        <w:t xml:space="preserve">              -------</w:t>
        <w:br/>
        <w:t>Agreement shall be in writing and deemed to be sufficient if contained in a</w:t>
        <w:br/>
        <w:t>written instrument and shall be deemed given if delivered personally,</w:t>
        <w:br/>
        <w:t>telecopied, sent by nationally-recognized overnight courier or mailed by</w:t>
        <w:br/>
        <w:t>registered or certified mail (return receipt requested), postage prepaid, to the</w:t>
        <w:br/>
        <w:t>parties at the following address (or at such other address for a party as shall</w:t>
        <w:br/>
        <w:t>be specified by like notice):</w:t>
        <w:br/>
        <w:br/>
        <w:t xml:space="preserve">          If to iPrint:       iPrint Technologies, inc.</w:t>
        <w:br/>
        <w:t xml:space="preserve">                              000 Xxxxxxxxxxxx Xxxxx</w:t>
        <w:br/>
        <w:t xml:space="preserve">                              Xxxxx Xxxx, XX  00000</w:t>
        <w:br/>
        <w:t xml:space="preserve">                              Attn: General Counsel</w:t>
        <w:br/>
        <w:t xml:space="preserve">                              Facsimile No.:  (000) 000-0000</w:t>
        <w:br/>
        <w:br/>
        <w:t xml:space="preserve">          With a copy to:     Xxxx Xxxx Xxxx &amp; Freidenrich LLP</w:t>
        <w:br/>
        <w:t xml:space="preserve">                              000 Xxxxxxxx Xxxxxx</w:t>
        <w:br/>
        <w:t xml:space="preserve">                              Xxxx Xxxx, XX 00000-0000</w:t>
        <w:br/>
        <w:br/>
        <w:t xml:space="preserve">          Attention:          Xxxxx Xxxxxx, Esq.</w:t>
        <w:br/>
        <w:t xml:space="preserve">                              Facsimile No.:  (000) 000-0000</w:t>
        <w:br/>
        <w:br/>
        <w:t xml:space="preserve">          If to Affiliate:    To the address for notice set forth on the</w:t>
        <w:br/>
        <w:t xml:space="preserve">                              signature page hereof.</w:t>
        <w:br/>
        <w:t xml:space="preserve">                              Facsimile No:  [_____________]</w:t>
        <w:br/>
        <w:br/>
        <w:t xml:space="preserve">          (l) Counterparts. This Agreement may be executed in one or more</w:t>
        <w:br/>
        <w:t xml:space="preserve">              ------------</w:t>
        <w:br/>
        <w:t>counterparts, each of which shall be deemed an original, and all of which</w:t>
        <w:br/>
        <w:t>together shall constitute one and the same instrument.</w:t>
        <w:br/>
        <w:br/>
        <w:t xml:space="preserve">                                       4</w:t>
        <w:br/>
        <w:br/>
        <w:br/>
        <w:t xml:space="preserve">     IN WITNESS WHEREOF, the parties have caused this Affiliate Agreement to be</w:t>
        <w:br/>
        <w:t>duly executed on the day and year first above written.</w:t>
        <w:br/>
        <w:br/>
        <w:t>iPRINT TECHNOLOGIES, iNC.                 AFFILIATE</w:t>
        <w:br/>
        <w:br/>
        <w:br/>
        <w:br/>
        <w:t>By: _________________________________     By:__________________________________</w:t>
        <w:br/>
        <w:br/>
        <w:br/>
        <w:t>Name: _______________________________     Affiliate's Address for Notice:</w:t>
        <w:br/>
        <w:br/>
        <w:t>Title: ______________________________     _____________________________________</w:t>
        <w:br/>
        <w:br/>
        <w:t xml:space="preserve">                                          _____________________________________</w:t>
        <w:br/>
        <w:br/>
        <w:t xml:space="preserve">                                          _____________________________________</w:t>
        <w:br/>
        <w:br/>
        <w:br/>
        <w:t xml:space="preserve">                                      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