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br/>
        <w:t>CONFIDENTIALITY AGREEMENT</w:t>
        <w:br/>
        <w:t>This CONFIDENTIALITY AGREEMENT (“Agreement”) is being entered into as of August 17, 2016 between Vitae Pharmaceuticals, Inc., a Delaware corporation (“Vitae”), and Allergan, Inc., a Delaware corporation (“Allergan” and with Vitae referred to collectively as the “Parties” and individually as a “Party”).</w:t>
        <w:br/>
        <w:t>In order to facilitate the consideration and negotiation of a possible negotiated transaction involving Allergan’s acquisition of all or a portion of the equity interests in or assets (including through license) of Vitae (a “Transaction”), each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13 below) will, at any time, directly or indirectly:</w:t>
        <w:br/>
        <w:t>(a) make use of any of the Provider’s Confidential Information (as defined in Section 12 below), except for the specific purpose of considering, evaluating or negotiating a Transaction (or any potential transaction described in Section 7 following the expiration or termination of the Standstill Period); or</w:t>
        <w:br/>
        <w:t>(b) disclose any of the Provider’s Confidential Information to any other Person (as defined in Section 13 below).</w:t>
        <w:br/>
        <w:t>The Recipient will be liable and responsible for any breach of this Agreement by any of its Representatives. The Recipient will (at its own expense) notify its Representatives of this Agreement and the restrictions herein, including its Representatives’ obligations hereunder.</w:t>
        <w:br/>
        <w:t>2. Provider Contact Person. Any request by the Recipient or any of its Representatives to review any of the Provider’s Confidential Information must be directed to the individual(s) identified opposite the name of the Provider on EXHIBIT A (the “Provider Contact Person”). Neither the Recipient nor any of the Recipient’s Representatives will contact or otherwise communicate with any other Representative of the Provider in connection with a Transaction without the prior written authorization of the Provider Contact Person.</w:t>
        <w:br/>
        <w:t>3. No Representations by Provider.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in the absence of intentional fraud (i.e., with scienter),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that are included in any final definitive written agreement that provides for the consummation of a Transaction between the Parties (a “Definitive Agreement”) will have legal effect.</w:t>
        <w:br/>
        <w:t xml:space="preserve">  1</w:t>
        <w:br/>
        <w:t>4. Permitted Disclosures.</w:t>
        <w:br/>
        <w:t>(a) Notwithstanding the limitations set forth in Section 1 above:</w:t>
        <w:br/>
        <w:t>(i) the Recipient may disclose Confidential Information of the Provider if and to the extent that the Provider consents in writing to the Recipient’s disclosure thereof;</w:t>
        <w:br/>
        <w:t>(ii) the Recipient may disclose Confidential Information of the Provider to any Representative of the Recipient, but only to the extent such Representative (A) needs to know such Confidential Information for the purpose of helping the Recipient evaluate or negotiate a Transaction between the Parties (or any potential transaction described in Section 7 following the expiration or termination of the Standstill Period), and (B) has been provided with a copy of this Agreement and has agreed to abide and be bound by the provisions hereof or is otherwise bound by confidentiality obligations at least as restrictive as those contained in this Agreement; and</w:t>
        <w:br/>
        <w:t>(iii) subject to Section 4(b) below, the Recipient may disclose Confidential Information of the Provider to the extent required by applicable law or governmental regulation or by valid legal process.</w:t>
        <w:br/>
        <w:t>(b) If the Recipient or any of the Recipient’s Representatives is required by law or governmental regulation or by subpoena or other valid legal process to disclose any of the Provider’s Confidential Information to any Person, then the Recipient will immediately provide the Provider with written notice of the applicable law, regulation or process so that the Provider may seek a protective order or other appropriate remedy. The Recipient and its Representatives will cooperate, at Provider’s expense,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then the Recipient may disclose such Confidential Information to the extent legally required; provided, however, that the Recipient and its Representatives will use their reasonable efforts to ensure that such Confidential Information is treated confidentially by each Person to whom it is disclosed.</w:t>
        <w:br/>
        <w:t>5. Return of Confidential Information. Upon the Provider’s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such Confidential Information to the Provider, the Recipient may destroy such Confidential Information and deliver to the Provider a certificate confirming their destruction; provided further, that Recipient shall not be required to return or destroy copies of Confidential Information created pursuant to Recipient’s automatic archiving and back-up procedures. Notwithstanding the delivery to the Provider, the destruction by the Recipient or the automatic archiving by Recipient of Confidential Information of the Provider pursuant to this Section 5, the Recipient and its Representatives will continue to be bound by their confidentiality obligations and other obligations under this Agreement with respect to such Confidential Information.</w:t>
        <w:br/>
        <w:t>6. Limitation on Soliciting Employees. During the 12 month period commencing on the date of this Agreement, each Party agrees that it will not permit any of its officers, directors or employees or any direct or indirect subsidiary or any employment agency retained by a Party or any such subsidiary, in each case who is or becomes aware of the negotiation of a possible Transaction between the Parties, to solicit for employment with such Party or with any of its direct or indirect subsidiaries any employee of the other Party or any of its direct or indirect subsidiaries; provided, however, that this Section 6 will not prevent either Party or its direct or indirect subsidiaries (or employment agencies acting on their behalf) from making generalized searches for employees, including by causing to be placed any general advertisement or similar notices or engaging search firms or in the case of employment agencies, contacting employees of the other Party or its direct or indirect subsidiaries, provided that that such searches are not targeted specifically at employees of the other Party or its direct or indirect subsidiaries.</w:t>
        <w:br/>
        <w:t xml:space="preserve">  2</w:t>
        <w:br/>
        <w:t>7. Standstill Provision. During the 9 month period commencing on the date of this Agreement (the “Standstill Period”), neither Allergan nor any of Allergan’s subsidiaries or other Representatives on behalf of Allergan will, in any manner, directly or indirectly:</w:t>
        <w:br/>
        <w:t>(a) make, effect, initiate, cause or participate in (i) any acquisition of beneficial ownership of any securities of Vitae or any securities of any subsidiary of Vitae, (ii) any acquisition of any assets of Vitae or any assets of any subsidiary of Vitae, (iii) any tender offer, exchange offer, merger, business combination, recapitalization, restructuring, liquidation, dissolution or extraordinary transaction involving Vitae or any subsidiary of Vitae or involving any securities or assets of Vitae or any securities or assets of any subsidiary of Vitae, or (iv) any “solicitation” of “proxies” (as those terms are used in the proxy rules of the Securities and Exchange Commission) or consents with respect to any securities of Vitae or any subsidiary of Vitae;</w:t>
        <w:br/>
        <w:t>(b) form, join or participate in a “group” (as defined in the Securities Exchange Act of 1934 and the rules promulgated thereunder) with respect to the beneficial ownership of any securities of Vitae or any subsidiary of Vitae;</w:t>
        <w:br/>
        <w:t>(c) act, alone or in concert with others, to seek to control or influence the management, board of directors or policies of Vitae or any subsidiary of Vitae;</w:t>
        <w:br/>
        <w:t>(d) take any action that would require Vitae to make a public announcement regarding any of the types of matters set forth in clause (a) of this Section 7;</w:t>
        <w:br/>
        <w:t>(e) agree or offer to take, or encourage or propose (publicly or otherwise) the taking of, any action referred to in clause (a), (b), (c) or (d) of this Section 7;</w:t>
        <w:br/>
        <w:t>(f) assist, induce or encourage any other Person to take any action of the type referred to in clause (a), (b), (c), (d) or (e) of this Section 7;</w:t>
        <w:br/>
        <w:t>(g) enter into any discussions, negotiations, arrangement or agreement with any other Person relating to any of the foregoing; or</w:t>
        <w:br/>
        <w:t>(h) request or propose that Vitae amend, waive or consider the amendment or waiver of any provision set forth in this Section 7.</w:t>
        <w:br/>
        <w:t>Notwithstanding the foregoing or anything herein to the contrary, (A) Allergan may exercise voting rights pursuant to its ownership of any securities of Vitae that were not acquired in violation of this Agreement at any regular or special meeting (or by written consent in lieu of a meeting) at which holders of the same class of securities are entitled to vote, (B) Allergan’s Chief Executive Officer may confidentially contact Vitae’s Chief Executive Officer to express continuing or renewed interest in a Transaction and (C) Allergan may make confidential proposals with respect to a potential Transaction to the Board of Directors of Vitae. The foregoing restrictions set forth in this Section 7 shall immediately and automatically terminate and cease to apply without any further action by either Party in the event that (I) Vitae authorizes a process for the solicitation of offers or indications of interest with respect to an Alternative Transaction and fails to invite Allergan to participate in the process on substantially the same terms as apply to any of the other participants in such process in a manner that is adverse to Allergan or, during the course of any such process, fails to allow Allergan to continue to participate in such process on substantially the same terms as apply to any of the other participants in such process in a manner that is adverse to Allergan, (II) Vitae’s board of directors (or a committee thereof) approves, or Vitae enters into a definitive agreement providing for, an Alternative Transaction, (III) a third party commences, or announces an intention to commence, a tender or exchange offer, the consummation of which would constitute an Alternative Transaction or (IV) any person or “group” (as such term is used under the Exchange Act) commences any “solicitation” of “proxies” (as such terms are used under the Exchange Act) or consents with</w:t>
        <w:br/>
        <w:t xml:space="preserve">  3</w:t>
        <w:br/>
        <w:t>respect to the voting securities of Vitae in which such person or group would, if successful, elect or acquire the ability to elect a majority of the members of the board of directors of Vitae or result in a majority of the seats of the board of directors of Vitae becoming vacant. As used in this Agreement, “Alternative Transaction” shall mean a transaction or series of related transactions involving a merger, business combination, tender or exchange offer, restructuring, recapitalization, liquidation of or other transaction with or involving Vitae or any of its subsidiaries, an issuance or third-party acquisition (including by way of tender or exchange offer) of securities, in each case as a result of which any person or “group” (as such term is used under the Exchange Act) or the shareholders of any such person or group (in the aggregate) would beneficially own securities representing 50% or more of the equity securities (by voting power or value, including upon exercise, exchange or conversion of any other security) of Vitae or an acquisition by a third party of all or substantially all of the assets of Vitae, other than the evaluation of a Transaction being considered hereunder.</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recognizes that, except as expressly provided in any legally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monetary damages calculated at law may not be an adequate remedy for breach of this Agreement, and that each Party shall be entitled to seek injunctive relief or other more appropriate equitable relief (in addition to any other remedy it may have under this Agreement or otherwise at law or in equity) in the event of any breach of this Agreement by the other Party. In the event of litigation relating to this Agreement, the Party that does not prevail in a court of competent jurisdiction will be liable for, and will pay to the other Party and the other Party’s Representatives, the reasonable legal fees incurred by the other Party and the other Party’s Representatives in connection with such litigation (including any appeal relating thereto).</w:t>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 xml:space="preserve">  4</w:t>
        <w:br/>
        <w:t>12. Confidential Information. For purposes of this Agreement, the Provider’s “Confidential Information” will be deemed to include only the following:</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w:t>
        <w:br/>
        <w:t>(b) any memorandum, analysis, compilation, summary, interpretation, study, report or other document, record or material that is or has been prepared by or for the Recipient or any Representative of the Recipient and that contains, reflects, interprets or is based upon any information of the type referred to in clause (a) of this Section 12;</w:t>
        <w:br/>
        <w:t>(c) the existence and terms of this Agreement, and the fact that information of the type referred to in clause (a) of this Section 12 has been made available to the Recipient or any of its Representatives; and</w:t>
        <w:br/>
        <w:t>(d) the fact that discussions or negotiations are or may be taking place with respect to a Transaction involving the Parties,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 in violation of this Agreement;</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known to the Recipient at the time such source disclosed such information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13. Miscellaneous.</w:t>
        <w:br/>
        <w:t>(a) For purposes of this Agreement, a Party’s “Representatives” will be deemed to include each Person that is or becomes (i) a subsidiary or other affiliate of such Party, or (ii) an officer, director, employee, partner, attorney, advisor, accountant, agent or representative of such Party or of any of such Party’s subsidiaries or other affiliates.</w:t>
        <w:br/>
        <w:t>(b) The term “Person,” as used in this Agreement, will be broadly interpreted to include any individual and any corporation, partnership, entity, group, tribunal or governmental authority.</w:t>
        <w:br/>
        <w:t>(c)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5</w:t>
        <w:br/>
        <w:t>(d)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(e)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 Provider, or the applicable direct or indirect subsidiary of Provider, is not waiving and shall not be deemed to have waived or diminished its attorney-client privileges, work-product protections, or other applicable privileges or doctrines as a result of disclosing any Confidential Information (including Confidential Information related to pending or threatened litigation) and (ii)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(f) This Agreement constitutes the entire agreement between the Recipient and the Provider regarding the subject matter hereof and supersedes any prior agreement between the Recipient and the Provider regarding the subject matter hereof.</w:t>
        <w:br/>
        <w:t>(g) This Agreement will terminate 12 months from the effective date of this Agreement, unless earlier terminated by either Party at any time upon 30 days written notice to the other Party. The termination of this Agreement shall not relieve the Recipient of the obligations hereunder with respect to Confidential Information of the Provider (which shall survive any such termination and continue for a period of four years from the effective date of this Agreement), or relieve either party of its obligations under Section 6 of this Agreement or relieve Allergan of its obligations under Section 7 of this Agreement (which shall survive for the stated durations thereof), and the provisions of Sections 3, 5, 8, 9, 10, 11 and 13 shall remain in full force and effect and survive any termination of this Agreement.</w:t>
        <w:br/>
        <w:t>(h) The Recipient agrees not to export, directly or indirectly, any U.S. source technical data acquired from the Provider or any products utilizing such data to countries outside the United States, which export may be in violation of the United States export laws or regulations.</w:t>
        <w:br/>
        <w:t>(i) The Parties hereto confirm their agreement that this Agreement, as well as any amendment hereto and all other documents related hereto, including legal notices, shall be in the English language only.</w:t>
        <w:br/>
        <w:t>[Signature Page Next]</w:t>
        <w:br/>
        <w:t>VITAE PHARMACEUTICALS, INC.</w:t>
        <w:br/>
        <w:t xml:space="preserve">  By:            /s/ Xxxxxxx Xxxxxxxx</w:t>
        <w:br/>
        <w:t>Title:        CEO</w:t>
        <w:br/>
        <w:t>Address:</w:t>
        <w:br/>
        <w:t>000 Xxxx Xxxxxx Xxxxxx Xxxxx</w:t>
        <w:br/>
        <w:t>Xxxx Xxxxxxxxxx, XX 00000</w:t>
        <w:br/>
        <w:t>ALLERGAN, INC.</w:t>
        <w:br/>
        <w:t xml:space="preserve">  By:    /s/ Xxxx Xxxxxxxx</w:t>
        <w:br/>
        <w:t>Title:        Secretary</w:t>
        <w:br/>
        <w:t>Address:</w:t>
        <w:br/>
        <w:t>000 Xxxxxxxxx Xxxxxxx</w:t>
        <w:br/>
        <w:t>Xxxxxxxxxx, XX 00000</w:t>
        <w:br/>
        <w:t xml:space="preserve">  EXHIBIT A</w:t>
        <w:br/>
        <w:t>PROVIDER CONTACT PERSON</w:t>
        <w:br/>
        <w:t>VITAE:</w:t>
        <w:br/>
        <w:t>Xxxx Xxxxxxxx, CEO</w:t>
        <w:br/>
        <w:t>Xxxx Xxxxxx, CFO</w:t>
        <w:br/>
        <w:t>Xxxxx Xxxxxxxxx, General Counsel</w:t>
        <w:br/>
        <w:t>ALLERGAN:</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