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CONFIDENTIALITY AGREEMENT</w:t>
        <w:br/>
        <w:t>This CONFIDENTIAL AGREEMENT (“Agreement”) is being entered into as of October 23, 2015 between Sequenom, Inc., a Delaware corporation (the “Company”), and Laboratory Corporation of America Holdings, a Delaware corporation (“LabCorp”).</w:t>
        <w:br/>
        <w:t>In order to facilitate the consideration and negotiation of a possible negotiated transaction between the Company and LabCorp (referred to collectively as the “Parties” and individually as a “Party”), each Party has either requested or may request access to certain non-public or proprietary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14 below) will, at any time, directly or indirectly:</w:t>
        <w:br/>
        <w:t>(a) make use of any of the Provider’s Confidential Information (as defined in Section 13 below), except for the specific purpose of considering, evaluating and negotiating a possible negotiated transaction between the Parties; or</w:t>
        <w:br/>
        <w:t>(b) disclose any of the Provider’s Confidential Information to any other Person (as defined in Section 14 below).</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take all actions necessary to restrain its Representatives from making any unauthorized use or disclosure of any of the Provider’s Confidential Information.</w:t>
        <w:br/>
        <w:t>2. Provider Contact Person. Any request by the Recipient or any of its Representatives to review any of the Provider’s Confidential Information must be directed to the individual(s) identified below the name of the Provider on EXHIBIT A or any investment banks or outside legal counsel retained by the Provider in connection with the possible transaction (the “Provider Contact Person”). Neither the Recipient nor any of the Recipient’s Representatives will contact or otherwise communicate with any other Representative or employee of the Provider in connection with a possible transaction without the prior written authorization of the Provider Contact Person.</w:t>
        <w:br/>
        <w:t>3. No Representations by Provider. The Provider Contact Person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w:t>
        <w:br/>
        <w:t>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Notwithstanding the foregoing, the Company has the right to disclose the Confidential Information to LabCorp as provided herein and has not engaged any broker, finder, agent, investment bank, person or firm who would be entitled, directly or indirectly, to any broker’s, finder’s or any other commission or similar fee from LabCorp in connection with this Agreement or the possible transaction between the Company and LabCorp. Company is free to compensate a broker, investment banker or similar person from its own funds or funds it receives in a transaction.</w:t>
        <w:br/>
        <w:t>4. Permitted Disclosures.</w:t>
        <w:br/>
        <w:t>(a) Notwithstanding the limitations set forth in Section 1 above:</w:t>
        <w:br/>
        <w:t>(i) the Recipient may disclose Confidential Information of the Provider if and to the extent that the Provider consents in writing to the Recipient’s disclosure thereof;</w:t>
        <w:br/>
        <w:t>(ii) subject to Section 4(b) below, the Recipient may disclose Confidential Information of the Provider to any Representative of the Recipient, but only to the extent such Representative (A) needs to know such Confidential Information for the purpose of helping the Recipient evaluate or negotiate a possible negotiated transaction between the Parties, and (B) has been provided with a copy of this Agreement and has agreed to abide and be bound by the provisions hereof or is otherwise bound by confidentiality obligations substantially similar to those contained in this Agreement; and</w:t>
        <w:br/>
        <w:t>(iii) subject to Section 4(c) below, the Recipient may disclose Confidential Information of the Provider to the extent required by applicable law or governmental regulation or by valid legal process.</w:t>
        <w:br/>
        <w:t>(b) If prior to providing certain Confidential Information to the Recipient, the Provider delivers to the Recipient a written notice stating that such Confidential Information of the Provider may be disclosed only to specified Representatives of the Recipient, then, notwithstanding anything to the contrary contained in Section 4(a)(ii) above, the Recipient shall not thereafter disclose or permit the disclosure of any of such Confidential Information to any other Representative of the Recipient.</w:t>
        <w:br/>
        <w:t>(c) If the Recipient or any of the Recipient’s Representatives is required by law or governmental regulation or by subpoena or other valid legal process to disclose any of the Provider’s Confidential Information to any Person, then the Recipient will promptly provide the Provider with written notice of the applicable law, regulation or process so that the Provider may seek a protective order or other appropriate remedy, The Recipient and its Representatives will cooperate fully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disclose Confidential Information of the Provider, and if the Recipient furnishes the Provider with a written advice of reputable legal counsel acceptable to the Provider confirming that the disclosure of such Confidential Information is legally required, then the Recipient may disclose such Confidential Information to the extent legally required; provided, however, that the Recipient and its Representatives will use their reasonable best efforts to ensure that such Confidential Information is treated confidentially by each Person to whom it is disclosed,</w:t>
        <w:br/>
        <w:t>5. Return of Confidential Information. Upon the Provider’s request, the Recipient and the Recipient’s Representatives will promptly deliver to the Provider any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a certificate confirming their destruction provided further, that the Recipient may retain one copy of such Confidential Information in its legal department for the purpose of determining any continuing obligation under this Agreement, and nothing herein shall require Recipient to delete electronic copies of Confidential Information (including emails) that have become embedded in Recipient’s electronic records system through normal back-up procedures; provided any retained Confidential Information remains subject to this Agreement.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Limitation on Soliciting Employees. For a one (1) year period commencing on the date of this Agreement, LabCorp agrees that it will not and will not permit any of its Representatives to solicit for employment with LabCorp or with any of its direct or indirect subsidiaries any director, officer or management-level employee of the Company or any subsidiary of the Company; provided, however, that this Section 6 will not prevent LabCorp or its direct or indirect subsidiaries from causing to be placed any general advertisement or similar notice that is not targeted at employees of the Company or its subsidiaries. The foregoing does not, however, apply to contact or solicitation (or resulting employment or engagement) made by any of LabCorp’s employees, agents, or independent contractors who is not aware of the proposed transaction between the Parties, this Agreement, or the restrictions contained herein and who is not directed or encouraged to make such contact or solicitations by LabCorp’s employees, agents or independent contractors who have knowledge of the proposed transaction between the Parties, this Agreement, or the restrictions contained herein.</w:t>
        <w:br/>
        <w:t>7. Standstill Provision. During the 18 month period commencing on the date of this Agreement (the “Standstill Period”), neither LabCorp nor any of LabCorp’s Representatives on behalf of LabCorp will, in any manner, directly or indirectly:</w:t>
        <w:br/>
        <w:t>(a) make, effect, initiate, cause or participate in (i) any acquisition of beneficial ownership of any securities of the Company or any securities (including derivatives thereof) of any subsidiary or other affiliate of the Company, (ii) any acquisition of any assets of the Company or any assets of any subsidiary, division or other affiliate of the Company, (iii) any tender offer, exchange offer, merger, business combination, recapitalization, restructuring, liquidation, dissolution or extraordinary transaction involving the Company or any subsidiary or other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might require the Company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of the type referred to in clause “(a)”, “(b)”, “(c)”, “(d)” or “(e)” of this sentence;</w:t>
        <w:br/>
        <w:t>(g) enter into any discussions, negotiations, arrangement or agreement with any other Person relating to any of the foregoing; or</w:t>
        <w:br/>
        <w:t>(h) request or propose that the Company or any of the Company’s Representatives amend, waive or consider the amendment or waiver of any provision set forth in this Section 7.</w:t>
        <w:br/>
        <w:t>Nothing in this Agreement will prevent LabCorp or its Representatives from communicating with the Chief Executive Officer of the Company to make a proposal for or to negotiate with the Company in respect of a tender or exchange offer, merger or other business combination, or any other of the transactions described in Section 7(a)(i) involving the Company and LabCorp so long as such communication is made confidentially and does not require public disclosure, Following the end of the Standstill Period, nothing in this Agreement (including the prohibitions on use and disclosure set forth in Sections 1 and 4 hereof) shall, directly or indirectly, prevent or otherwise limit LabCorp and its Representatives from taking any actions referred to in clauses (a)-(h) of this Section 7 or related thereto, and in each case without notice to or consultation with the Company. The expiration of the Standstill Period will not terminate or otherwise affect any of the other provisions of this Agreement.</w:t>
        <w:br/>
        <w:t>The foregoing covenants in Section 7 (the “Standstill Restrictions”) shall terminate if, during such period and without LabCorp violating Section 7, (i) a third party unaffiliated with LabCorp or any group of which LabCorp is a member, publicly commences or announces an intent to commence a tender offer or exchange offer for at least 50% of the capital stock of the Company (provided that the standstill provisions of Section 7 shall automatically become applicable again if the third party announces its intent not to proceed with the proposed or commenced tender offer or exchange offer), or (ii) the Company enters into an agreement with a third party to effect a transaction involving a sale of 50% or more of the capital stock or all or substantially all of the assets of the Company.</w:t>
        <w:br/>
        <w:t>In addition, nothing herein, including, without limitation, the Standstill Restrictions, shall prevent LabCorp or any of its affiliates from acquiring securities of another company that beneficially owns any securities of or equity interests in the Company, unless such acquisition was made for the purpose of violating the Standstill Restrictions. Further, notwithstanding anything to the contrary contained herein, the Standstill Restrictions shall not apply to (i) any investment in any securities of the Company by or on behalf of any pension or employee benefit plan or trust, including without limitation (A) any direct or indirect interests in portfolio securities held by an investment company registered under the Investment Company Act of 1940, as amended, (B) interests in securities comprising part of a mutual fund or broad based, publicly traded market basket or index of stocks approved for such a plan or trust in which such plan or trust invests, or (C) any stock portfolios not controlled by LabCorp or any of its affiliates which invest in the Company among other companies; or (ii) any assets or securities of the Company, as debtor, that are acquired in a transaction subject to the approval of the United States Bankruptcy Court pursuant to proceedings under the United States Bankruptcy Code.</w:t>
        <w:br/>
        <w:t>8.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any transaction or proposed transaction involving such Party and to modify any procedures relating to any such process without giving notice to the other Party or any other Person; (b) to reject any proposal made by the other Party or any of the other Party’s Representatives with respect to a transaction involving such Party; and (c) to terminate discussions and negotiations with the other Party at any time, Each Party recognizes that, except as expressly provided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w:t>
        <w:br/>
        <w:t>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would not be a sufficient remedy for any breach of this Agreement by such Party or by any of such Party’s Representatives and that the other Party may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11.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12.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jurisdiction of the state and federal courts located in the State of Delaware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13. Confidential Information. For purposes of this Agreement, the Provider’s “Confidential Information” will be deemed to include only the following:</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w:t>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sentence;</w:t>
        <w:br/>
        <w:t>(c) the existence and terms of this Agreement, and the fact that information of the type referred to in clause “(a)” of this sentence has been made available to the Recipient or any of its Representatives; and</w:t>
        <w:br/>
        <w:t>(d) the fact that discussions or negotiations are or may be taking place with respect to a possible transaction involving the Parties,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14. Miscellaneous.</w:t>
        <w:br/>
        <w:t>(a) For purposes of this Agreement, a Party’s “Representatives” will be deemed to include each Person that is or becomes (i) a subsidiary of such Party, (ii) an officer, director, employee, partner, attorney, advisor, accountant, agent or representative of such Party or of any of such Party’s subsidiaries or (iii) only upon prior written approval of the other Party, a potential debt financing source to be used by such Party in connection with a potential negotiated transaction between the Parties, provided that any debt financing source enters into a confidentiality agreement with the other Party that include obligations relating to the other Party’s Confidential Information, securities and employees that are substantially similar to the obligations in this Agreement (and providing that the other Party shall be a third party beneficiary thereof).</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w:t>
        <w:br/>
        <w:t>(h) This Agreement shall continue in full force and effect for a period of three years from the effective date of this Agreement. This Agreement may be terminated by either party at any time upon thirty (30) days written notice to the other party. The termination of this Agreement shall not relieve the Recipient of the obligations imposed by Sections 1, 4, 5, 9 through 14 inclusive of this Agreement which shall survive any such termination and continue for a period of two years from the date of execution of this Agreement or relieve LabCorp of its obligations under Sections 6 and 7 of this Agreement. Nothing herein is intended to limit or abridge the protection of trade secrets under applicable trade secrets law, and the protection of trade secrets by the Recipient shall be maintained as such until they fall into the public domain.</w:t>
        <w:br/>
        <w:t>(i) The Recipient agrees not to export, directly or indirectly, any U.S. source technical data acquired from the Provider or any products utilizing such data to countries outside the United States, which export may be in violation of the United States export laws or regulations.</w:t>
        <w:br/>
        <w:t>(j) The Parties hereto confirm their agreement that this Agreement, as well as any amendment hereto and all other documents related hereto, including legal notices, shall be in the English language only.</w:t>
        <w:br/>
        <w:t>(k) This Agreement may be executed in several counterparts, each of which shall constitute an original and all of which, when taken together, shall constitute one agreement. The exchange of a fully executed Agreement (in counterparts or otherwise) by electronic transaction or by facsimile shall be sufficient to bind the parties to the terms and conditions of this Agreement.</w:t>
        <w:br/>
        <w:t>The parties have caused this Agreement to be executed as of October 23, 2015.</w:t>
        <w:br/>
        <w:t>SEQUENOM, INC.     LABORATORY CORPORATION OF AMERICA HOLDINGS</w:t>
        <w:br/>
        <w:t xml:space="preserve">By:  </w:t>
        <w:br/>
        <w:t>/s/ Xxxxxxx X. Xxxxxx</w:t>
        <w:br/>
        <w:t xml:space="preserve">    By:  </w:t>
        <w:br/>
        <w:t>/s/ Xxxx Xxxxxx</w:t>
        <w:br/>
        <w:t>Name: Xxxxxxx X. Xxxxxx     Name: Xxxx Xxxxxx</w:t>
        <w:br/>
        <w:t>Title: Sr. VP, Gen. Counsel &amp; Secretary     Title: SVP, CD</w:t>
        <w:br/>
        <w:t xml:space="preserve">Address:  0000 Xxxxx Xxxxxxx                 Xxxxx XxxXxxxx, XX 00000       </w:t>
        <w:br/>
        <w:t xml:space="preserve"> Address:   000 X. Xxxxxx Xxxxxx</w:t>
        <w:br/>
        <w:t xml:space="preserve">                  Xxxxxxxxxx, XX 00000</w:t>
        <w:br/>
        <w:t>EXHIBIT A</w:t>
        <w:br/>
        <w:t>PROVIDER CONTACT PERSONS</w:t>
        <w:br/>
        <w:t>SEQUENOM, INC.:</w:t>
        <w:br/>
        <w:t xml:space="preserve">  1. Dirk van den Boom</w:t>
        <w:br/>
        <w:t xml:space="preserve">  2. Xxxxxxx Xxxxxx</w:t>
        <w:br/>
        <w:t xml:space="preserve">  3. Xxxxxxx Xxxxxx</w:t>
        <w:br/>
        <w:t xml:space="preserve">  4. Xxx Xxxxxxxxx</w:t>
        <w:br/>
        <w:t>Laboratory Corporation of America Holdings</w:t>
        <w:br/>
        <w:t xml:space="preserve">  1. 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