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10.41</w:t>
        <w:br/>
        <w:t xml:space="preserve">  CONSULTING AGREEMENT</w:t>
        <w:br/>
        <w:t xml:space="preserve">  This consulting agreement (“Agreement”) is entered into as of September 26, 2024 (the “Effective Date”) between Xxxxxx Global Ventures, LLC, a Nevada limited liability company (“Consultant”) and Banzai International INC., a Delaware corporation (“COMPANY”) (collectively, the “Parties”).</w:t>
        <w:br/>
        <w:t xml:space="preserve">  RECITAL</w:t>
        <w:br/>
        <w:t xml:space="preserve">  A. WHEREAS, COMPANY deems it to be in its best interest to retain Consultant to render to the COMPANY such services as may be needed; and</w:t>
        <w:br/>
        <w:t xml:space="preserve">  B. WHEREAS, the Parties agree, after having a complete understanding of the services desired and the services to be provided, that the COMPANY desires to retain Consultant to provide such assistance through its services for the COMPANY, and Consultant is willing to provide such services to the COMPANY; and</w:t>
        <w:br/>
        <w:t xml:space="preserve">  NOW, THEREFORE, in consideration of the mutual promises, conditions, and covenants herein contained, the Parties hereby agree as follows:</w:t>
        <w:br/>
        <w:t xml:space="preserve">  1. Duties and Consultant’s Fee.</w:t>
        <w:br/>
        <w:t xml:space="preserve">  (a) Term. The appointment was effective as of September 26, 2024 and shall automatically terminate on October 26, 2024.</w:t>
        <w:br/>
        <w:t xml:space="preserve">  (b) Duties. The Consultant shall provide the COMPANY with business advisory services, guidance on growth strategies, and networking with its contacts on a non-exclusive basis for general business purposes. The Consultant will comply in all respects with all applicable federal and state securities laws, rules and regulations in performing its duties hereunder. The Consultant is not required to work a set number of hours or attend COMPANY’s meetings. The Consultant is in control of their own business opportunities, permitted to conduct business from locations of the Consultant’s choice, responsible to pay all of the Consultant’s costs of doing business, including but not limited to health insurance, dental insurance, workers compensation, off premises liability, and any other expenses, and responsible to timely remit all federal and state withholding taxes due on commissions earned, Social Security taxes, Medicare taxes, unemployment taxes, and all other applicable taxes. The Consultant is not now, and shall never become, an affiliate of the COMPANY in any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