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CONSULTING AGREEMENT</w:t>
        <w:br/>
        <w:t xml:space="preserve">  THIS CONSULTING AGREEMENT (the “Agreement”) made this 28th day of May 2024 by and between AXIL Brands, Inc. (f/k/a Reviv3 Procare Company), (the “Company”) and Xxxxxx Xxxx Xxxxxxxx (“Consultant”) (together, the “Parties”).</w:t>
        <w:br/>
        <w:t xml:space="preserve">  RECITALS</w:t>
        <w:br/>
        <w:t xml:space="preserve">  The Company, along with several of its affiliates (collectively, the “Affiliates”), are engaged in the business of manufacturing and marketing premium hearing enhancement and protection products, including ear plugs, earmuffs, and ear buds, and premium hair and skincare products (collectively, the “Business”). The Company desires to engage the Consultant to provide subject matter expertise on financial matters.</w:t>
        <w:br/>
        <w:t xml:space="preserve">  NOW, THEREFORE, in consideration of the foregoing, the covenants and agreements herein contained and other good and valuable consideration, the receipt and sufficiency of which are hereby acknowledged, the Company hereby retains the Consultant, and the Consultant agrees to be retained by the Company, on the following terms and conditions:</w:t>
        <w:br/>
        <w:t xml:space="preserve">  AGREEMENT</w:t>
        <w:br/>
        <w:t xml:space="preserve">  A.</w:t>
        <w:br/>
        <w:t>Consultant Services. The Company agrees to retain the Consultant to be available to assist the Company at reasonable times and provide transition services as reasonably requested by the Company (“the Services”).</w:t>
        <w:br/>
        <w:t xml:space="preserve">  B.</w:t>
        <w:br/>
        <w:t>Method of Performing Services. Consultant will determine the method, details, and means of performing the above-described services.</w:t>
        <w:br/>
        <w:t xml:space="preserve">  C.</w:t>
        <w:br/>
        <w:t>Tools and Instrumentalities. Consultant will supply all tools and instrumentalities required to perform the services under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