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AMENDMENT NO. 1 TO CONSULTING AGREEMENT</w:t>
        <w:br/>
        <w:t xml:space="preserve">  This Amendment No. 1 to the Consulting Agreement (this “Amendment”), dated as of October 17, 2023, but effective for all purposes as of September 28, 2023 (the “Amendment Effectiveness Date”), is by and between InterPrivate III Financial Partners Inc., a Delaware corporation (the “Company”), and Xxxx XxXxxx (“Consultant”). Reference is made to that certain Consulting Agreement dated August 18, 2023 (the “Consulting Agreement”) by and between the Company and the Consultant. Capitalized terms used herein without definition shall have the same meanings as set forth in the Consulting Agreement, as amended hereby.</w:t>
        <w:br/>
        <w:t xml:space="preserve">  WHEREAS, the Parties desire to memorialize their agreement amend the Consulting Agreement, effective as of Amendment Effectiveness Date, to replace Section 2(a), Section 4 and Section 6(e) of the Consulting Agreement and to make certain other modifications as set forth below.</w:t>
        <w:br/>
        <w:t xml:space="preserve">  NOW, THEREFORE, in consideration of the premises and the agreements, provisions and covenants herein contained, the Parties hereto agree as follows:</w:t>
        <w:br/>
        <w:t xml:space="preserve">  Section 1. Amendments to Consulting Agreement.</w:t>
        <w:br/>
        <w:t xml:space="preserve">  1.1. Clause (a) of Section 2 of the Consulting Agreement is hereby deleted in its entirety and replaced with the following:</w:t>
        <w:br/>
        <w:t xml:space="preserve">  “(a) Consulting Fee. The Company shall pay the Consultant a monthly retainer of $50,000.00 until this Agreement is terminated by either party upon notice to the other (email to suffice).”</w:t>
        <w:br/>
        <w:t xml:space="preserve">  1.2. Section 4 of the Section of the Consulting Agreement is hereby deleted in its entirety and replaced with the following:</w:t>
        <w:br/>
        <w:t xml:space="preserve">  “Section 4. Survival. Sections 3 through 6 of this Agreement and any remedies for breach of this Agreement shall survive any termination or expiration.”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