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10.7.1</w:t>
        <w:br/>
        <w:t xml:space="preserve">  MEDICAL EXPERT/KEY OPINION LEADER</w:t>
        <w:br/>
        <w:t>CONSULTING AGREEMENT</w:t>
        <w:br/>
        <w:t xml:space="preserve">  THIS CONSULTING AGREEMENT (this “Agreement”) is made and entered into as of May 12, 2018 (the “Agreement Date”), by and between Lucid Diagnostics Inc., a Delaware corporation (the “Company”), and Xxxxxx Xxxxxx, MD an individual residing in________ (the “Consultant”).</w:t>
        <w:br/>
        <w:t xml:space="preserve">  RECITALS</w:t>
        <w:br/>
        <w:t xml:space="preserve">  WHEREAS, the Company is a medical device company organized to conceive, develop and commercialize a diversified pipeline of innovative products (the “Products”);</w:t>
        <w:br/>
        <w:t xml:space="preserve">  WHEREAS, the Company and the Consultant desire to enter into a consulting arrangement whereby the Consultant will serve as a medical expert/key opinion leader to perform certain services for the Company related to the Products upon the terms and conditions set forth below;</w:t>
        <w:br/>
        <w:t xml:space="preserve">  WHEREAS, certain confidential, proprietary and trade secret information of the Company, including but not limited to, the “Confidential Information” as defined in Section 5.1 of this Agreement, may be disclosed to the Consultant in connection with his performance of the consulting services; and</w:t>
        <w:br/>
        <w:t xml:space="preserve">  WHEREAS, the Company is willing to enter into this consulting arrangement only if the Consultant consents to the nondisclosure and other obligations set forth in Section 5 and Section 6 of this Agreement.</w:t>
        <w:br/>
        <w:t xml:space="preserv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