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CONSULTING AGREEMENT</w:t>
        <w:br/>
        <w:t xml:space="preserve">  THIS CONSULTING AGREEMENT (this “Agreement”) is made and entered into as of August 18, 2015 (the “Effective Date”), by and between Synergy CHC Corp., a Nevada corporation (the “Company”), and Xxxx Xxxxxxxxxxx (the “Consultant”).</w:t>
        <w:br/>
        <w:t xml:space="preserve">  WITNESSETH</w:t>
        <w:br/>
        <w:t xml:space="preserve">  WHEREAS, the Company desires to engage Consultant to provide certain services on an independent contractor basis as outlined below, and Consultant wishes to provide such services to Company; and</w:t>
        <w:br/>
        <w:t xml:space="preserve">  WHEREAS, the Company and Consultant desire to establish and document the terms and conditions of the consulting relationship between them.</w:t>
        <w:br/>
        <w:t xml:space="preserve">  NOW, THEREFORE, in consideration of the mutual promises and obligations of the parties set forth herein and for other good and valuable consideration, the receipt and legal sufficiency of which are hereby acknowledged, the parties, intending to be legally bound, agree as follows:</w:t>
        <w:br/>
        <w:t xml:space="preserve">  1. Appointment of Consultant; Services. Company appoints Consultant and Consultant hereby accepts appointment as an independent contractor to perform services related to marketing and sales as may be requested by the Company from time to time, which may include, without limitation, the services described on Exhibit A hereto (the “Services”).</w:t>
        <w:br/>
        <w:t xml:space="preserve">  2. Term; Termination. This Agreement will be effective as of the Effective Date and will continue in effect for one year, unless earlier terminated by either party upon written notice to the other party. If Company terminates Consultant other than for cause during the term, then the payments set forth in Section 5 will continue until the end of the term.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