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(the “Agreement”) is made as of June 8, 2023 (the “Effective Date”) by and between Xxxxxxxx Oncology, Inc., a Delaware corporation with principal offices at Xxx Xxxx Xxxxxx, Xxxxx 0000, Xxxxxxxxx, XX 00000 and on behalf of its affiliates and subsidiaries (collectively “Xxxxxxxx”) and Xxxxxxx Xxxxxxxx, PhD, (“Consultant”).  Xxxxxxxx and Consultant may be referred to herein individually as a “Party” and collectively as the “Parties”.</w:t>
        <w:br/>
        <w:t xml:space="preserve">WHEREAS, the Parties entered into a Service Agreement effective as of the closing of the Xxxxxxxx’x first underwritten public offering of its equity securities pursuant to an effective registration statement under the Securities Act of 1933, as amended (“Service Agreement”); and </w:t>
        <w:br/>
        <w:t>WHEREAS, the Parties have mutually agreed to terminate the Service Agreement for purposes beneficial to both Parties and desire to replace the Service Agreement with this Agreement upon the Effective Date.</w:t>
        <w:br/>
        <w:t>1.               Engagement of Services.  Consultant agrees to provide temporary consulting services to Xxxxxxxx as described in Exhibit A hereto (collectively, the “Services”) during the Term (as defined herein) of this Agreement.  Consultant may not subcontract or otherwise delegate his obligations under this Agreement without Xxxxxxxx’x prior written consent. Consultant agrees and affirms that he shall comply fully with all applicable laws, rules and regulations governing such Services, as well as with any applicable policies of 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