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10.25</w:t>
        <w:br/>
        <w:t xml:space="preserve">  CONSULTING AGREEMENT</w:t>
        <w:br/>
        <w:t xml:space="preserve">  This Agreement, effective as of August 5, 2022 (“Effective Date”), is by and between Eleison Pharmaceuticals Inc., a Delaware corporation having a place of business at 000 Xxxxxxxxxx Xxxxxx, 0xx Xxxxx, Xxxxxxxxxx, XX 00000 (hereinafter “Eleison”), and Xxxxxxx Xxxxxxx, of 00 Xxxxx Xxxx, Xxx Xxxx, XX 00000 (hereinafter “Consultant”).</w:t>
        <w:br/>
        <w:t xml:space="preserve">  WHEREAS, Eleison is in the business of developing, manufacturing and selling pharmaceuticals;</w:t>
        <w:br/>
        <w:t xml:space="preserve">          WHEREAS, Xxxxxxx seeks to have Consultant, provide consulting services as described in Exhibit A, attached hereto and incorporated herein (“Services”).</w:t>
        <w:br/>
        <w:t xml:space="preserve">  WHEREAS, Consultant is desirous of performing Services and will have access to Xxxxxxx’s confidential and proprietary information;</w:t>
        <w:br/>
        <w:t xml:space="preserve">  NOW THEREFORE, in consideration of the mutual promises and other good and valuable consideration, the parties agree as follows:</w:t>
        <w:br/>
        <w:t xml:space="preserve">  1.           The term of this agreement shall be for a period of twelve (12) months from the Effective Date. This Agreement may be extended by mutual written agreement of the parties.</w:t>
        <w:br/>
        <w:t xml:space="preserve">  2.           As consideration for the furnishing of Services, pursuant to this agreement, Consultant will receive: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