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99.3</w:t>
        <w:br/>
        <w:t xml:space="preserve">  Certain confidential information contained in this document, marked by [***], has been omitted because Outlook Therapeutics, Inc. has determined that the information (i) is not material and (II) would likely cause competitive harm to Outlook Therapeutics, Inc. if publicly disclosed.</w:t>
        <w:br/>
        <w:t xml:space="preserve">  OUTLOOK THERAPEUTICS, INC.</w:t>
        <w:br/>
        <w:t xml:space="preserve">  CONSULTING AGREEMENT</w:t>
        <w:br/>
        <w:t xml:space="preserve">  This Consulting Agreement (this “Agreement”) is made and entered into as of January 27, 2020 (the “Execution Date”) and effective as of the Effective Date, by and between Outlook Therapeutics, Inc., a Delaware corporation with its principal place of business at 0 Xxxxxx Xxxxx, Xxxxxxxx, Xxx Xxxxxx, 00000 (the “Company”), and Biomimetic Consulting Inc. (such entity, including its control persons, affiliates, directors and officers “Consultant”) (each herein referred to individually as a “Party,” or collectively as the “Parties”). As used herein, “Effective Date” shall mean the date on which all of the requirements of the Nasdaq Marketplace Rules 5635(c) and (d) have been satisfied to allow for the issuance of Company’s common stock to all of Principals, as contemplated by the terms of Section 3.B(i) of Exhibit A attached hereto.</w:t>
        <w:br/>
        <w:t xml:space="preserve">  The Company is terminating its Strategic Partnership Agreement with MTTR LLC (“MTTR”), dated February 15, 2018, as amended by the letter agreements and/or amendments between the Parties dated March 2, 2018, March 4, 2019, and June 4, 2019, (collectively, the “SPA”), which is reflected in the Termination Agreement and Mutual Release being entered between the Company and MTTR (the “Termination Agreement”). As a result of the termination of the SPA, the Company desires to retain Consultant as an independent contractor to perform consulting services for the Company, and Consultant is willing to perform such services, on the terms described below. In consideration of the mutual promises contained herein, the Parties agree as follows:</w:t>
        <w:br/>
        <w:t xml:space="preserve">  1.                   Services and Compensation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