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EX-10.33 2 d254016dex1033.htm AMENDED AND RESTATED CREDIT AGREEMENT</w:t>
        <w:br/>
        <w:t>Exhibit 10.33</w:t>
        <w:br/>
        <w:t>AMENDED AND RESTATED CREDIT AGREEMENT</w:t>
        <w:br/>
        <w:t>This Credit Agreement (this “Agreement”) is entered into between XXXX XXXXXXXXX (“Xxxxxxxxx”), XXXXXX AND COMPANY (“Xxxxxx”) and NNJCA CAPITAL, LLC (“NNJCA”, and with Pappajohn and Xxxxxx, collectively the “Lender”), and CANCER GENETICS, INC., a Delaware corporation (the “Company”), as of February 13, 2012, amending and restating in its entirety a Credit Agreement among Pappajohn, the Company and certain other parties dated as of December 21, 2011.</w:t>
        <w:br/>
        <w:t>WHEREAS, the Company desired credit in the principal amount of up to Six Million Dollars ($6,000,000);</w:t>
        <w:br/>
        <w:t>WHEREAS, pursuant to a Credit Agreement dated as of December 21, 2011, Pappajohn and European Trust Management, LLC, a Delaware limited liability company, (“ETM”) had agreed to provide such credit;</w:t>
        <w:br/>
        <w:t>WHEREAS, Pappajohn provided the $3 million of funding requested of him on December 22, 2011, but ETM has failed to fund the $3 million it was required to fund under the December 21, 2011 Credit Agreement; and</w:t>
        <w:br/>
        <w:t>WHEREAS, Pappajohn, Xxxxxx and NNJCA are willing to provide such $3 million of credit to the Company on the terms and conditions hereof;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