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t xml:space="preserve">  This Distribution Agreement (this “Agreement”), dated April 30, 2024, is made by and among MidBridge Private Markets Fund, a Delaware statutory trust (the “Fund”), MidBridge Advisors LP, a Delaware limited partnership (the “Advisor”), and Ultimus Fund Distributors, LLC, a limited liability company organized under the laws of the state of Ohio (“Distributor”).</w:t>
        <w:br/>
        <w:t xml:space="preserve">  Background</w:t>
        <w:br/>
        <w:t>The Fund is a closed-end management investment company registered under the Investment Company Act of 1940, as amended (the “1940 Act”), and it desires that Distributor act as the Fund’s principal underwriter and distribute its shares of beneficial interest (the “Shares”). Distributor is willing to perform such services on the terms and conditions set forth in this Agreement.</w:t>
        <w:br/>
        <w:t xml:space="preserve">  Terms and Conditions</w:t>
        <w:br/>
        <w:t>1. Applicable Law</w:t>
        <w:br/>
        <w:t>For the duties and responsibilities under this Agreement, each party is currently abiding, and will continue to abide, by all applicable federal and state laws, including, without limitation, federal and state securities laws; regulations, rules, and interpretations of the U.S. Securities and Exchange Commission (“SEC”) and its authorized regulatory agencies and organizations, including the Financial Industry Regulatory Authority, Inc. (“FINRA”); and all other self-regulatory organizations governing the transactions contemplated under this Agreement (collectively, “Applicable Law”).</w:t>
        <w:br/>
        <w:t xml:space="preserve">  2. Appointment of Distributor</w:t>
        <w:br/>
        <w:t xml:space="preserve">  2.1. The Fund retains Distributor to act as its principal underwriter/distributor for the distribution of the Shares and to perform the distribution services as set forth below (collectively, the “Services”). Distributor accepts such employment to perform the Services. While this Agreement is in force, the Fund shall not sell any Shares except on the terms set forth in this Agreement. Notwithstanding any other provision hereof, the Fund may terminate, suspend, or withdraw the offering of Shares whenever, in its sole discretion, it deems such action to be desirable.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