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DISTRIBUTION AGREEMENT</w:t>
        <w:br/>
        <w:br/>
        <w:br/>
        <w:t xml:space="preserve">    THIS DISTRIBUTION AGREEMENT (this “Agreement”) is made and entered into as of this 21st day of August, 2024, by and between Diamond Hill Securitized Credit Fund, a Delaware statutory trust (the “Fund”) and Foreside Financial Services, LLC, a Delaware limited liability company (the “Distributor”). Each of the Fund and the Distributor, a “Party”, and together, the “Parties”.</w:t>
        <w:br/>
        <w:br/>
        <w:t>WHEREAS, the Fund is registered under the Investment Company Act of 1940, as amended (the “1940 Act”), as a non-diversified closed-end management investment company and operates as an interval fund, and is authorized to issue Shares of beneficial interest (“Shares”);</w:t>
        <w:br/>
        <w:br/>
        <w:t>WHEREAS, the Fund desires to retain the Distributor as its principal underwriter in connection with the offering of the Shares of the Fund;</w:t>
        <w:br/>
        <w:br/>
        <w:t>WHEREAS, the Distributor is registered as a broker-dealer under the Securities Exchange Act of 1934, as amended (the “1934 Act”), and is a member of the Financial Industry Regulatory Authority, Inc. (“FINRA”);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