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e(11)</w:t>
        <w:br/>
        <w:t>FIRST AMENDMENT TO</w:t>
        <w:br/>
        <w:t>DISTRIBUTION AGREEMENT</w:t>
        <w:br/>
        <w:t>This first amendment (“Amendment”) to the Distribution Agreement (the “Agreement”) dated as of December 2, 2023 by and between Stone Ridge Trust and Foreside Global Services, LLC (together, the “Parties”) is effective as of September 5, 2024.</w:t>
        <w:br/>
        <w:t>WHEREAS, the Parties desire to amend Appendix A to the Agreement to reflect an updated funds list; and,</w:t>
        <w:br/>
        <w:t>WHEREAS, Section 18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1.  Capitalized terms not otherwise defined herein shall have the meanings set forth in Agreement.</w:t>
        <w:br/>
        <w:t>2.  Appendix to the Agreement is hereby deleted and replaced in its entirety by the Appendix A attached hereto.</w:t>
        <w:br/>
        <w:t>3.  Except as expressly amended hereby, all of the provisions of the Agreement shall remain unamended and in full force and effect to the same extent as if fully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